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86EAC" w14:textId="16ADE863" w:rsidR="00A05BD6" w:rsidRDefault="00DE5E16">
      <w:r>
        <w:rPr>
          <w:noProof/>
        </w:rPr>
        <w:drawing>
          <wp:anchor distT="0" distB="0" distL="0" distR="0" simplePos="0" relativeHeight="251661312" behindDoc="0" locked="0" layoutInCell="0" allowOverlap="1" wp14:anchorId="7FF9E362" wp14:editId="309528AE">
            <wp:simplePos x="0" y="0"/>
            <wp:positionH relativeFrom="column">
              <wp:posOffset>3117</wp:posOffset>
            </wp:positionH>
            <wp:positionV relativeFrom="paragraph">
              <wp:posOffset>520</wp:posOffset>
            </wp:positionV>
            <wp:extent cx="5772785" cy="2103755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85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708FCA" w14:textId="0C48FF6B" w:rsidR="004C52B4" w:rsidRDefault="004C52B4"/>
    <w:p w14:paraId="677B66D6" w14:textId="04251E13" w:rsidR="004C52B4" w:rsidRDefault="004C52B4"/>
    <w:p w14:paraId="583E8B94" w14:textId="77777777" w:rsidR="00DE5E16" w:rsidRDefault="00DE5E16" w:rsidP="004C52B4">
      <w:pPr>
        <w:ind w:left="-5"/>
      </w:pPr>
    </w:p>
    <w:p w14:paraId="583F5056" w14:textId="77777777" w:rsidR="00DE5E16" w:rsidRDefault="00DE5E16" w:rsidP="004C52B4">
      <w:pPr>
        <w:ind w:left="-5"/>
      </w:pPr>
    </w:p>
    <w:p w14:paraId="7F87D5EA" w14:textId="77777777" w:rsidR="00DE5E16" w:rsidRDefault="00DE5E16" w:rsidP="004C52B4">
      <w:pPr>
        <w:ind w:left="-5"/>
      </w:pPr>
    </w:p>
    <w:p w14:paraId="73658E72" w14:textId="77777777" w:rsidR="00DE5E16" w:rsidRDefault="00DE5E16" w:rsidP="004C52B4">
      <w:pPr>
        <w:ind w:left="-5"/>
      </w:pPr>
    </w:p>
    <w:p w14:paraId="7343F83F" w14:textId="77777777" w:rsidR="00DE5E16" w:rsidRDefault="00DE5E16" w:rsidP="004C52B4">
      <w:pPr>
        <w:ind w:left="-5"/>
      </w:pPr>
    </w:p>
    <w:p w14:paraId="7E561EF5" w14:textId="77777777" w:rsidR="00DE5E16" w:rsidRDefault="00DE5E16" w:rsidP="004C52B4">
      <w:pPr>
        <w:ind w:left="-5"/>
      </w:pPr>
    </w:p>
    <w:p w14:paraId="044B7501" w14:textId="77777777" w:rsidR="00DE5E16" w:rsidRDefault="00DE5E16" w:rsidP="004C52B4">
      <w:pPr>
        <w:ind w:left="-5"/>
      </w:pPr>
    </w:p>
    <w:p w14:paraId="3551EB6D" w14:textId="77777777" w:rsidR="00DE5E16" w:rsidRDefault="00DE5E16" w:rsidP="004C52B4">
      <w:pPr>
        <w:ind w:left="-5"/>
      </w:pPr>
    </w:p>
    <w:p w14:paraId="766E1143" w14:textId="77777777" w:rsidR="00DE5E16" w:rsidRDefault="00DE5E16" w:rsidP="004C52B4">
      <w:pPr>
        <w:ind w:left="-5"/>
      </w:pPr>
    </w:p>
    <w:p w14:paraId="4A765285" w14:textId="77777777" w:rsidR="00DE5E16" w:rsidRDefault="00DE5E16" w:rsidP="004C52B4">
      <w:pPr>
        <w:ind w:left="-5"/>
      </w:pPr>
    </w:p>
    <w:p w14:paraId="14C1DB93" w14:textId="77777777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b/>
          <w:bCs/>
          <w:sz w:val="24"/>
          <w:szCs w:val="24"/>
        </w:rPr>
        <w:t>Criteri di sostituzione docenti assenti.</w:t>
      </w:r>
    </w:p>
    <w:p w14:paraId="6C114801" w14:textId="77777777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sz w:val="24"/>
          <w:szCs w:val="24"/>
        </w:rPr>
        <w:t>1. docenti che hanno fruito di permessi orario da recuperare;</w:t>
      </w:r>
    </w:p>
    <w:p w14:paraId="31F15458" w14:textId="4AFAFF7F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sz w:val="24"/>
          <w:szCs w:val="24"/>
        </w:rPr>
        <w:t>2. docenti in orario che risultano a disposizione o che, per motivi diversi, possono trovarsi senza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alunni;</w:t>
      </w:r>
    </w:p>
    <w:p w14:paraId="5322C7BD" w14:textId="1052A886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sz w:val="24"/>
          <w:szCs w:val="24"/>
        </w:rPr>
        <w:t>3. docenti della classe in contemporaneità o compresenza, secondo un criterio di rotazione e, ove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possibile, con riferimento all’affinità disciplinare, il cui controllo è affidato al collaboratore e/o al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responsabile di plesso;</w:t>
      </w:r>
    </w:p>
    <w:p w14:paraId="0126E311" w14:textId="02E41CD8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sz w:val="24"/>
          <w:szCs w:val="24"/>
        </w:rPr>
        <w:t>4. variazione, per esigenze di servizio, delle ore a disposizione, utilizzate in maniera flessibile, previa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comunicazione al docente della modifica di orario;</w:t>
      </w:r>
    </w:p>
    <w:p w14:paraId="4BE1A51E" w14:textId="77777777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sz w:val="24"/>
          <w:szCs w:val="24"/>
        </w:rPr>
        <w:t>5. docenti di sostegno, nella loro classe o in altra classe e in orario di servizio in assenza dell’alunno.</w:t>
      </w:r>
    </w:p>
    <w:p w14:paraId="4B22820B" w14:textId="3DFBB1A8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sz w:val="24"/>
          <w:szCs w:val="24"/>
        </w:rPr>
        <w:t>6. docenti in servizio in classi che, per motivi diversi, presentano un numero particolarmente esiguo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di allievi e che quindi accoglieranno un'altra classe possibilmente parallela;</w:t>
      </w:r>
    </w:p>
    <w:p w14:paraId="37197887" w14:textId="2E5D3DF1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sz w:val="24"/>
          <w:szCs w:val="24"/>
        </w:rPr>
        <w:t>7. per la sostituzione di docenti la cui assenza è nota almeno dal giorno precedente si farà ricorso ad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una riorganizzazione dell'orario sia giornaliero che settimanale avendo cura di comunicare alle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famiglie la variazione di orario;</w:t>
      </w:r>
    </w:p>
    <w:p w14:paraId="6731A1DE" w14:textId="77777777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sz w:val="24"/>
          <w:szCs w:val="24"/>
        </w:rPr>
        <w:t>8. docenti assegnati nell’organico di potenziamento</w:t>
      </w:r>
    </w:p>
    <w:p w14:paraId="761B9EC8" w14:textId="77777777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sz w:val="24"/>
          <w:szCs w:val="24"/>
        </w:rPr>
        <w:t>9. docenti in ora libera, disponibili ad effettuare “ore eccedenti”, su richiesta specifica.</w:t>
      </w:r>
    </w:p>
    <w:p w14:paraId="5AAA1E35" w14:textId="7F8B7C7B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sz w:val="24"/>
          <w:szCs w:val="24"/>
        </w:rPr>
        <w:t>Tali ore, da indicare nel quadro orario, potranno essere retribuite come da norma o, a richiesta del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docente, accantonate per l'eventuale fruizione di permessi compatibilmente alle esigenze di servizio.</w:t>
      </w:r>
    </w:p>
    <w:p w14:paraId="6C990460" w14:textId="5C65E536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sz w:val="24"/>
          <w:szCs w:val="24"/>
        </w:rPr>
        <w:t>L'insegnante di sostegno è a tutti gli effetti insegnante di classe; pertanto egli subentra nella propria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classe all'insegnante titolare di disciplina, qualora questi sia assente (tranne i casi particolarmente gravi). Gli insegnanti di sostegno, in quanto contitolari della classe, in assenza degli</w:t>
      </w:r>
      <w:r w:rsidR="00FC398D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 xml:space="preserve">alunni </w:t>
      </w:r>
      <w:proofErr w:type="gramStart"/>
      <w:r w:rsidRPr="007B33FD">
        <w:rPr>
          <w:sz w:val="24"/>
          <w:szCs w:val="24"/>
        </w:rPr>
        <w:t xml:space="preserve">loro </w:t>
      </w:r>
      <w:r w:rsidR="00FC398D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affidati</w:t>
      </w:r>
      <w:proofErr w:type="gramEnd"/>
      <w:r w:rsidRPr="007B33FD">
        <w:rPr>
          <w:sz w:val="24"/>
          <w:szCs w:val="24"/>
        </w:rPr>
        <w:t>, sono considerati in contemporaneità. Per dare esecuzione a quanto su precisato,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è richiesto ai docenti di sostegno di collaborare con lo staff di presidenza, impegnato nel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procedimento di sostituzione dei colleghi assenti per brevi periodi (perché per assenze più lunghe si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è proceduto e si procederà a nomina di supplenti esterni), segnalando loro l’eventuale assenza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dell’alunno con disabilità.</w:t>
      </w:r>
    </w:p>
    <w:p w14:paraId="59283CEF" w14:textId="4D7B1F7F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sz w:val="24"/>
          <w:szCs w:val="24"/>
        </w:rPr>
        <w:t>In caso non sia possibile utilizzare una delle modalità sopraindicate, si procederà alla convocazione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del supplente possibile sin dal primo giorno nei limiti e nelle condizioni ex art. 32 comma 3 lettera a)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del D. L.104 DEL 14.08.2020 “Misure urgenti per il sostegno e il rilancio dell'economia”, che si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riporta integralmente:</w:t>
      </w:r>
      <w:r w:rsidRPr="007B33FD">
        <w:rPr>
          <w:rStyle w:val="s1"/>
          <w:sz w:val="24"/>
          <w:szCs w:val="24"/>
        </w:rPr>
        <w:t xml:space="preserve"> </w:t>
      </w:r>
      <w:r w:rsidRPr="007B33FD">
        <w:rPr>
          <w:i/>
          <w:iCs/>
          <w:sz w:val="24"/>
          <w:szCs w:val="24"/>
        </w:rPr>
        <w:t>3. Quota parte dell'incremento di cui al comma 1, pari a 368 milioni di euro</w:t>
      </w:r>
      <w:r w:rsidR="00D1098B">
        <w:rPr>
          <w:sz w:val="24"/>
          <w:szCs w:val="24"/>
        </w:rPr>
        <w:t xml:space="preserve"> </w:t>
      </w:r>
      <w:r w:rsidRPr="007B33FD">
        <w:rPr>
          <w:i/>
          <w:iCs/>
          <w:sz w:val="24"/>
          <w:szCs w:val="24"/>
        </w:rPr>
        <w:t>nell'anno 2020 e a 552 milioni di euro nell'anno 2021, è destinata: a) al potenziamento delle misure</w:t>
      </w:r>
      <w:r w:rsidR="00D1098B">
        <w:rPr>
          <w:sz w:val="24"/>
          <w:szCs w:val="24"/>
        </w:rPr>
        <w:t xml:space="preserve"> </w:t>
      </w:r>
      <w:r w:rsidRPr="007B33FD">
        <w:rPr>
          <w:i/>
          <w:iCs/>
          <w:sz w:val="24"/>
          <w:szCs w:val="24"/>
        </w:rPr>
        <w:t>previste all'articolo 231-bis del decreto legge 19 maggio 2020, n. 34 convertito con modificazioni</w:t>
      </w:r>
      <w:r w:rsidR="00D1098B">
        <w:rPr>
          <w:sz w:val="24"/>
          <w:szCs w:val="24"/>
        </w:rPr>
        <w:t xml:space="preserve"> </w:t>
      </w:r>
      <w:r w:rsidRPr="007B33FD">
        <w:rPr>
          <w:i/>
          <w:iCs/>
          <w:sz w:val="24"/>
          <w:szCs w:val="24"/>
        </w:rPr>
        <w:t>dalla legge 17 luglio 2020, n. 77, consentendo la sostituzione del personale così assunto dal primo</w:t>
      </w:r>
      <w:r w:rsidR="00D1098B">
        <w:rPr>
          <w:sz w:val="24"/>
          <w:szCs w:val="24"/>
        </w:rPr>
        <w:t xml:space="preserve"> </w:t>
      </w:r>
      <w:r w:rsidRPr="007B33FD">
        <w:rPr>
          <w:i/>
          <w:iCs/>
          <w:sz w:val="24"/>
          <w:szCs w:val="24"/>
        </w:rPr>
        <w:t>giorno di assenza fermo restando il rispetto della normativa vigente ed il prioritario ricorso al</w:t>
      </w:r>
      <w:r w:rsidR="00D1098B">
        <w:rPr>
          <w:sz w:val="24"/>
          <w:szCs w:val="24"/>
        </w:rPr>
        <w:t xml:space="preserve"> </w:t>
      </w:r>
      <w:r w:rsidRPr="007B33FD">
        <w:rPr>
          <w:i/>
          <w:iCs/>
          <w:sz w:val="24"/>
          <w:szCs w:val="24"/>
        </w:rPr>
        <w:t>personale a qualunque titolo in servizio presso l'istituzione scolastica e in possesso di abilitazione o</w:t>
      </w:r>
      <w:r w:rsidR="00D1098B">
        <w:rPr>
          <w:sz w:val="24"/>
          <w:szCs w:val="24"/>
        </w:rPr>
        <w:t xml:space="preserve"> </w:t>
      </w:r>
      <w:r w:rsidRPr="007B33FD">
        <w:rPr>
          <w:i/>
          <w:iCs/>
          <w:sz w:val="24"/>
          <w:szCs w:val="24"/>
        </w:rPr>
        <w:lastRenderedPageBreak/>
        <w:t>di titolo di studio idoneo. Il 10 per cento delle risorse che incrementano il fondo di cui di cui</w:t>
      </w:r>
      <w:r w:rsidR="00D1098B">
        <w:rPr>
          <w:sz w:val="24"/>
          <w:szCs w:val="24"/>
        </w:rPr>
        <w:t xml:space="preserve"> </w:t>
      </w:r>
      <w:r w:rsidRPr="007B33FD">
        <w:rPr>
          <w:i/>
          <w:iCs/>
          <w:sz w:val="24"/>
          <w:szCs w:val="24"/>
        </w:rPr>
        <w:t>all'articolo 235 del decreto-legge 19 maggio 2020, n. 34, per l'attivazione dei contratti temporanei a</w:t>
      </w:r>
    </w:p>
    <w:p w14:paraId="77B6716A" w14:textId="77777777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i/>
          <w:iCs/>
          <w:sz w:val="24"/>
          <w:szCs w:val="24"/>
        </w:rPr>
        <w:t>tempo determinato del personale scolastico, è resa indisponibile per essere utilizzata per la copertura</w:t>
      </w:r>
    </w:p>
    <w:p w14:paraId="2D29F27C" w14:textId="7F6D9583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i/>
          <w:iCs/>
          <w:sz w:val="24"/>
          <w:szCs w:val="24"/>
        </w:rPr>
        <w:t>delle sostituzion</w:t>
      </w:r>
      <w:r w:rsidR="00D1098B">
        <w:rPr>
          <w:i/>
          <w:iCs/>
          <w:sz w:val="24"/>
          <w:szCs w:val="24"/>
        </w:rPr>
        <w:t>i.</w:t>
      </w:r>
    </w:p>
    <w:p w14:paraId="18B26EBB" w14:textId="6C83BCAA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sz w:val="24"/>
          <w:szCs w:val="24"/>
        </w:rPr>
        <w:t>Responsabili del procedimento di sostituzione dei docenti assenti, sono, in ognuna delle sedi, i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Responsabili di plesso e i Collaboratori del DS.</w:t>
      </w:r>
    </w:p>
    <w:p w14:paraId="6C031522" w14:textId="2BC09D33" w:rsidR="007B33FD" w:rsidRPr="007B33FD" w:rsidRDefault="007B33FD" w:rsidP="007B33FD">
      <w:pPr>
        <w:pStyle w:val="p1"/>
        <w:jc w:val="both"/>
        <w:rPr>
          <w:sz w:val="24"/>
          <w:szCs w:val="24"/>
        </w:rPr>
      </w:pPr>
      <w:r w:rsidRPr="007B33FD">
        <w:rPr>
          <w:sz w:val="24"/>
          <w:szCs w:val="24"/>
        </w:rPr>
        <w:t>I docenti firmeranno la sostituzione del docente assente sull’apposito registro delle sostituzioni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all’uopo predisposto e che riveste carattere di ufficialità. N.B. Si precisa che secondo quanto disposto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dall’art. 1, comma 85, della Legge 107/2015, il dirigente scolastico può effettuare sostituzioni di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docenti assenti per la copertura di supplenze temporanee -sin dal primo giorno e secondo le condizioni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sopra indicate anche con personale dell’organico dell’autonomia in possesso del previsto titolo di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studio di accesso e ove impiegato in gradi di istruzione inferiore, conserva il trattamento stipendiale</w:t>
      </w:r>
      <w:r w:rsidR="00D1098B">
        <w:rPr>
          <w:sz w:val="24"/>
          <w:szCs w:val="24"/>
        </w:rPr>
        <w:t xml:space="preserve"> </w:t>
      </w:r>
      <w:r w:rsidRPr="007B33FD">
        <w:rPr>
          <w:sz w:val="24"/>
          <w:szCs w:val="24"/>
        </w:rPr>
        <w:t>del grado di istruzione di appartenenza.</w:t>
      </w:r>
    </w:p>
    <w:p w14:paraId="0C181BE3" w14:textId="703DBE51" w:rsidR="00930840" w:rsidRDefault="004C52B4" w:rsidP="00F8048A">
      <w:pPr>
        <w:spacing w:after="235"/>
        <w:ind w:left="-5"/>
      </w:pPr>
      <w:r>
        <w:tab/>
      </w:r>
    </w:p>
    <w:p w14:paraId="7E065EDD" w14:textId="5A08BF4A" w:rsidR="004C52B4" w:rsidRDefault="004C52B4" w:rsidP="004C52B4">
      <w:pPr>
        <w:spacing w:after="235"/>
        <w:ind w:left="-5"/>
      </w:pPr>
      <w:r>
        <w:tab/>
      </w:r>
      <w:r>
        <w:tab/>
      </w:r>
      <w:r>
        <w:tab/>
      </w:r>
      <w:r>
        <w:tab/>
      </w:r>
    </w:p>
    <w:p w14:paraId="55723859" w14:textId="14649B47" w:rsidR="004C52B4" w:rsidRDefault="004C52B4" w:rsidP="004C52B4">
      <w:pPr>
        <w:spacing w:line="259" w:lineRule="auto"/>
      </w:pPr>
      <w:r>
        <w:t xml:space="preserve">  </w:t>
      </w:r>
    </w:p>
    <w:p w14:paraId="1EFF7BD2" w14:textId="2FD532BB" w:rsidR="004C52B4" w:rsidRDefault="004C52B4"/>
    <w:sectPr w:rsidR="004C52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63CB"/>
    <w:multiLevelType w:val="hybridMultilevel"/>
    <w:tmpl w:val="1F263D02"/>
    <w:lvl w:ilvl="0" w:tplc="0410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" w15:restartNumberingAfterBreak="0">
    <w:nsid w:val="6CF00DE5"/>
    <w:multiLevelType w:val="hybridMultilevel"/>
    <w:tmpl w:val="7916B040"/>
    <w:lvl w:ilvl="0" w:tplc="1E66726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46F3C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E618A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CCAC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6ED4E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FA6EAD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8609F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82D78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36D49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4196304">
    <w:abstractNumId w:val="1"/>
  </w:num>
  <w:num w:numId="2" w16cid:durableId="1013452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2B4"/>
    <w:rsid w:val="0007470F"/>
    <w:rsid w:val="00150267"/>
    <w:rsid w:val="00376C64"/>
    <w:rsid w:val="003D5529"/>
    <w:rsid w:val="004C52B4"/>
    <w:rsid w:val="005C3C1B"/>
    <w:rsid w:val="00674A6E"/>
    <w:rsid w:val="006A059D"/>
    <w:rsid w:val="007163DB"/>
    <w:rsid w:val="00745C04"/>
    <w:rsid w:val="007809A8"/>
    <w:rsid w:val="007B33FD"/>
    <w:rsid w:val="0081630A"/>
    <w:rsid w:val="0092081B"/>
    <w:rsid w:val="00930840"/>
    <w:rsid w:val="00A05BD6"/>
    <w:rsid w:val="00A8413D"/>
    <w:rsid w:val="00AA2B38"/>
    <w:rsid w:val="00AB2FBA"/>
    <w:rsid w:val="00AD71D7"/>
    <w:rsid w:val="00BF5920"/>
    <w:rsid w:val="00C21653"/>
    <w:rsid w:val="00CB6B8C"/>
    <w:rsid w:val="00CC6F40"/>
    <w:rsid w:val="00D1098B"/>
    <w:rsid w:val="00D85991"/>
    <w:rsid w:val="00DE5E16"/>
    <w:rsid w:val="00F8048A"/>
    <w:rsid w:val="00FC398D"/>
    <w:rsid w:val="00FE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5D49D3"/>
  <w15:chartTrackingRefBased/>
  <w15:docId w15:val="{29F4FC29-2792-1F43-A2C1-CFE7684C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C52B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9308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76C64"/>
    <w:pPr>
      <w:ind w:left="720"/>
      <w:contextualSpacing/>
    </w:pPr>
  </w:style>
  <w:style w:type="paragraph" w:customStyle="1" w:styleId="p1">
    <w:name w:val="p1"/>
    <w:basedOn w:val="Normale"/>
    <w:rsid w:val="007B33FD"/>
    <w:rPr>
      <w:rFonts w:ascii="Times New Roman" w:eastAsia="Times New Roman" w:hAnsi="Times New Roman" w:cs="Times New Roman"/>
      <w:color w:val="000000"/>
      <w:sz w:val="18"/>
      <w:szCs w:val="18"/>
      <w:lang w:eastAsia="it-IT"/>
    </w:rPr>
  </w:style>
  <w:style w:type="character" w:customStyle="1" w:styleId="s1">
    <w:name w:val="s1"/>
    <w:basedOn w:val="Carpredefinitoparagrafo"/>
    <w:rsid w:val="007B33FD"/>
    <w:rPr>
      <w:rFonts w:ascii="Helvetica" w:hAnsi="Helvetica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4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20</cp:revision>
  <cp:lastPrinted>2024-10-02T11:04:00Z</cp:lastPrinted>
  <dcterms:created xsi:type="dcterms:W3CDTF">2022-09-12T08:06:00Z</dcterms:created>
  <dcterms:modified xsi:type="dcterms:W3CDTF">2025-08-26T08:03:00Z</dcterms:modified>
</cp:coreProperties>
</file>