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media/image1.jpeg" ContentType="image/jpeg"/>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59" w:before="0" w:after="533"/>
        <w:ind w:hanging="0" w:start="-2"/>
        <w:rPr/>
      </w:pPr>
      <w:r>
        <w:rPr/>
        <w:drawing>
          <wp:inline distT="0" distB="0" distL="0" distR="0">
            <wp:extent cx="6120130" cy="2223135"/>
            <wp:effectExtent l="0" t="0" r="0" b="0"/>
            <wp:docPr id="1" name="Picture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677"/>
                    <pic:cNvPicPr>
                      <a:picLocks noChangeAspect="1" noChangeArrowheads="1"/>
                    </pic:cNvPicPr>
                  </pic:nvPicPr>
                  <pic:blipFill>
                    <a:blip r:embed="rId2"/>
                    <a:stretch>
                      <a:fillRect/>
                    </a:stretch>
                  </pic:blipFill>
                  <pic:spPr bwMode="auto">
                    <a:xfrm>
                      <a:off x="0" y="0"/>
                      <a:ext cx="6120130" cy="2223135"/>
                    </a:xfrm>
                    <a:prstGeom prst="rect">
                      <a:avLst/>
                    </a:prstGeom>
                    <a:noFill/>
                  </pic:spPr>
                </pic:pic>
              </a:graphicData>
            </a:graphic>
          </wp:inline>
        </w:drawing>
      </w:r>
    </w:p>
    <w:p>
      <w:pPr>
        <w:pStyle w:val="Normal"/>
        <w:spacing w:before="0" w:after="8"/>
        <w:ind w:hanging="10" w:start="-5"/>
        <w:rPr/>
      </w:pPr>
      <w:r>
        <w:rPr>
          <w:b/>
        </w:rPr>
        <w:t>Circ.</w:t>
      </w:r>
      <w:r>
        <w:rPr/>
        <w:t xml:space="preserve"> </w:t>
      </w:r>
      <w:r>
        <w:rPr/>
        <w:t>372</w:t>
      </w:r>
    </w:p>
    <w:p>
      <w:pPr>
        <w:pStyle w:val="Normal"/>
        <w:spacing w:lineRule="auto" w:line="259" w:before="0" w:after="4"/>
        <w:ind w:hanging="10" w:start="10" w:end="-13"/>
        <w:jc w:val="end"/>
        <w:rPr/>
      </w:pPr>
      <w:r>
        <w:rPr>
          <w:b/>
        </w:rPr>
        <w:t>A tutto il personale scolastico</w:t>
      </w:r>
    </w:p>
    <w:p>
      <w:pPr>
        <w:pStyle w:val="Normal"/>
        <w:spacing w:lineRule="auto" w:line="259" w:before="0" w:after="4"/>
        <w:ind w:hanging="10" w:start="10" w:end="-13"/>
        <w:jc w:val="end"/>
        <w:rPr/>
      </w:pPr>
      <w:r>
        <w:rPr>
          <w:b/>
        </w:rPr>
        <w:t>Al Personale Docente</w:t>
      </w:r>
    </w:p>
    <w:p>
      <w:pPr>
        <w:pStyle w:val="Normal"/>
        <w:spacing w:lineRule="auto" w:line="259" w:before="0" w:after="4"/>
        <w:ind w:hanging="10" w:start="10" w:end="-13"/>
        <w:jc w:val="end"/>
        <w:rPr/>
      </w:pPr>
      <w:r>
        <w:rPr>
          <w:b/>
        </w:rPr>
        <w:t>Al Personale ATA</w:t>
      </w:r>
    </w:p>
    <w:p>
      <w:pPr>
        <w:pStyle w:val="Normal"/>
        <w:spacing w:lineRule="auto" w:line="259" w:before="0" w:after="4"/>
        <w:ind w:hanging="10" w:start="10" w:end="-13"/>
        <w:jc w:val="end"/>
        <w:rPr/>
      </w:pPr>
      <w:r>
        <w:rPr>
          <w:b/>
        </w:rPr>
        <w:t>Agli Uffici Personale Docente e Ata</w:t>
      </w:r>
    </w:p>
    <w:p>
      <w:pPr>
        <w:pStyle w:val="Normal"/>
        <w:spacing w:lineRule="auto" w:line="259" w:before="0" w:after="4"/>
        <w:ind w:hanging="10" w:start="10" w:end="-13"/>
        <w:jc w:val="end"/>
        <w:rPr/>
      </w:pPr>
      <w:r>
        <w:rPr>
          <w:b/>
        </w:rPr>
        <w:t>Alla DSGA</w:t>
      </w:r>
    </w:p>
    <w:p>
      <w:pPr>
        <w:pStyle w:val="Normal"/>
        <w:spacing w:lineRule="auto" w:line="259" w:before="0" w:after="4"/>
        <w:ind w:hanging="10" w:start="10" w:end="-13"/>
        <w:jc w:val="end"/>
        <w:rPr/>
      </w:pPr>
      <w:r>
        <w:rPr>
          <w:b/>
        </w:rPr>
        <w:t>Al Sito Web</w:t>
      </w:r>
    </w:p>
    <w:p>
      <w:pPr>
        <w:pStyle w:val="Normal"/>
        <w:spacing w:lineRule="auto" w:line="528" w:before="0" w:after="4"/>
        <w:ind w:hanging="10" w:start="10" w:end="-13"/>
        <w:jc w:val="end"/>
        <w:rPr>
          <w:b/>
        </w:rPr>
      </w:pPr>
      <w:r>
        <w:rPr>
          <w:b/>
        </w:rPr>
        <w:t xml:space="preserve">Al Portale Argo </w:t>
      </w:r>
    </w:p>
    <w:p>
      <w:pPr>
        <w:pStyle w:val="Normal"/>
        <w:spacing w:lineRule="auto" w:line="528" w:before="0" w:after="4"/>
        <w:ind w:hanging="10" w:start="10" w:end="-13"/>
        <w:rPr/>
      </w:pPr>
      <w:r>
        <w:rPr>
          <w:b/>
        </w:rPr>
        <w:t>Oggetto: Mobilità personale docente e ATA  –  Graduatoria interna a.s. 26/27</w:t>
      </w:r>
    </w:p>
    <w:p>
      <w:pPr>
        <w:pStyle w:val="Heading1"/>
        <w:ind w:hanging="10" w:start="10" w:end="3"/>
        <w:rPr/>
      </w:pPr>
      <w:r>
        <w:rPr/>
        <w:t>LA DIRIGENTE SCOLASTICA</w:t>
      </w:r>
    </w:p>
    <w:p>
      <w:pPr>
        <w:pStyle w:val="Normal"/>
        <w:ind w:hanging="10" w:start="10" w:end="5"/>
        <w:jc w:val="both"/>
        <w:rPr/>
      </w:pPr>
      <w:r>
        <w:rPr>
          <w:b/>
        </w:rPr>
        <w:t>VISTA</w:t>
      </w:r>
      <w:r>
        <w:rPr/>
        <w:t xml:space="preserve"> l’</w:t>
      </w:r>
      <w:hyperlink r:id="rId3">
        <w:r>
          <w:rPr>
            <w:rStyle w:val="Style8"/>
            <w:u w:val="single" w:color="000000"/>
          </w:rPr>
          <w:t>Ipotesi di Contratto Collettivo Nazionale Integrativo 29 gennaio 2025 mobilità personale docente, educativo ed</w:t>
        </w:r>
      </w:hyperlink>
      <w:hyperlink r:id="rId4">
        <w:r>
          <w:rPr>
            <w:rStyle w:val="Style8"/>
          </w:rPr>
          <w:t xml:space="preserve"> </w:t>
        </w:r>
      </w:hyperlink>
      <w:hyperlink r:id="rId5">
        <w:r>
          <w:rPr>
            <w:rStyle w:val="Style8"/>
            <w:u w:val="single" w:color="000000"/>
          </w:rPr>
          <w:t>A.T.A. per gli anni scolastici del triennio 2025-2028</w:t>
        </w:r>
      </w:hyperlink>
      <w:r>
        <w:rPr/>
        <w:t xml:space="preserve"> concernente la mobilità del personale docente, educativo ed A.T.A. per gli anni scolastici relativi al triennio 2025/26, 2026/27, 2027/28 sottoscritta il giorno 29/01/2025</w:t>
      </w:r>
    </w:p>
    <w:p>
      <w:pPr>
        <w:pStyle w:val="Normal"/>
        <w:ind w:hanging="10" w:start="10" w:end="5"/>
        <w:jc w:val="both"/>
        <w:rPr/>
      </w:pPr>
      <w:r>
        <w:rPr>
          <w:b/>
        </w:rPr>
        <w:t>VISTA</w:t>
      </w:r>
      <w:r>
        <w:rPr/>
        <w:t xml:space="preserve"> </w:t>
      </w:r>
      <w:hyperlink r:id="rId6">
        <w:r>
          <w:rPr>
            <w:rStyle w:val="Hyperlink"/>
          </w:rPr>
          <w:t>l’Ordinanza Ministeriale n.43 del 12 marzo 2026,</w:t>
        </w:r>
      </w:hyperlink>
      <w:r>
        <w:rPr/>
        <w:t xml:space="preserve"> “Ordinanza sulla mobilità personale docente, educativo ed ATA per l’anno scolastico 2026/27”;</w:t>
      </w:r>
    </w:p>
    <w:p>
      <w:pPr>
        <w:pStyle w:val="Normal"/>
        <w:spacing w:lineRule="auto" w:line="386" w:before="0" w:after="207"/>
        <w:ind w:hanging="10" w:start="10" w:end="5"/>
        <w:jc w:val="both"/>
        <w:rPr/>
      </w:pPr>
      <w:r>
        <w:rPr>
          <w:b/>
        </w:rPr>
        <w:t xml:space="preserve">VISTA </w:t>
      </w:r>
      <w:hyperlink r:id="rId7">
        <w:r>
          <w:rPr>
            <w:rStyle w:val="Hyperlink"/>
          </w:rPr>
          <w:t>l’Ordinanza Ministeriale n.44 del 12 marzo 2026</w:t>
        </w:r>
      </w:hyperlink>
      <w:r>
        <w:rPr/>
        <w:t xml:space="preserve">, “Ordinanza sulla mobilità degli insegnanti religione cattolica anno scolastico 2026/2027” </w:t>
      </w:r>
    </w:p>
    <w:p>
      <w:pPr>
        <w:pStyle w:val="Normal"/>
        <w:spacing w:lineRule="auto" w:line="386" w:before="0" w:after="207"/>
        <w:ind w:hanging="10" w:start="10" w:end="5"/>
        <w:rPr/>
      </w:pPr>
      <w:r>
        <w:rPr>
          <w:b/>
        </w:rPr>
        <w:t>TENUTO CONTO</w:t>
      </w:r>
      <w:r>
        <w:rPr/>
        <w:t xml:space="preserve"> che:</w:t>
      </w:r>
    </w:p>
    <w:p>
      <w:pPr>
        <w:pStyle w:val="Normal"/>
        <w:numPr>
          <w:ilvl w:val="0"/>
          <w:numId w:val="1"/>
        </w:numPr>
        <w:spacing w:before="0" w:after="22"/>
        <w:ind w:hanging="360" w:start="705" w:end="5"/>
        <w:jc w:val="both"/>
        <w:rPr/>
      </w:pPr>
      <w:r>
        <w:rPr/>
        <w:t xml:space="preserve">il </w:t>
      </w:r>
      <w:r>
        <w:rPr>
          <w:b/>
        </w:rPr>
        <w:t>personale docente</w:t>
      </w:r>
      <w:r>
        <w:rPr/>
        <w:t xml:space="preserve"> potrà presentare domanda di mobilità dal</w:t>
      </w:r>
      <w:r>
        <w:rPr>
          <w:b/>
        </w:rPr>
        <w:t xml:space="preserve"> 16 marzo 2026 al 02 aprile 2026</w:t>
      </w:r>
      <w:r>
        <w:rPr/>
        <w:t>;</w:t>
      </w:r>
    </w:p>
    <w:p>
      <w:pPr>
        <w:pStyle w:val="Normal"/>
        <w:numPr>
          <w:ilvl w:val="0"/>
          <w:numId w:val="1"/>
        </w:numPr>
        <w:spacing w:before="0" w:after="21"/>
        <w:ind w:hanging="360" w:start="705" w:end="5"/>
        <w:jc w:val="both"/>
        <w:rPr/>
      </w:pPr>
      <w:r>
        <w:rPr/>
        <w:t>gli adempimenti di competenza degli uffici periferici del Ministero saranno chiusi entro il 07 maggio 2026;</w:t>
      </w:r>
    </w:p>
    <w:p>
      <w:pPr>
        <w:pStyle w:val="Normal"/>
        <w:numPr>
          <w:ilvl w:val="0"/>
          <w:numId w:val="1"/>
        </w:numPr>
        <w:spacing w:before="0" w:after="244"/>
        <w:ind w:hanging="360" w:start="705" w:end="5"/>
        <w:jc w:val="both"/>
        <w:rPr/>
      </w:pPr>
      <w:r>
        <w:rPr/>
        <w:t xml:space="preserve">gli </w:t>
      </w:r>
      <w:r>
        <w:rPr>
          <w:b/>
        </w:rPr>
        <w:t>esiti</w:t>
      </w:r>
      <w:r>
        <w:rPr/>
        <w:t xml:space="preserve"> della mobilità saranno pubblicati il </w:t>
      </w:r>
      <w:r>
        <w:rPr>
          <w:b/>
        </w:rPr>
        <w:t>29 maggio 2026</w:t>
      </w:r>
      <w:r>
        <w:rPr/>
        <w:t>;</w:t>
      </w:r>
    </w:p>
    <w:p>
      <w:pPr>
        <w:pStyle w:val="Normal"/>
        <w:spacing w:before="0" w:after="346"/>
        <w:ind w:hanging="10" w:start="-5"/>
        <w:rPr/>
      </w:pPr>
      <w:r>
        <w:rPr>
          <w:b/>
        </w:rPr>
        <w:t>TENUTO CONTO</w:t>
      </w:r>
      <w:r>
        <w:rPr/>
        <w:t xml:space="preserve"> che:</w:t>
      </w:r>
    </w:p>
    <w:p>
      <w:pPr>
        <w:pStyle w:val="Normal"/>
        <w:numPr>
          <w:ilvl w:val="0"/>
          <w:numId w:val="1"/>
        </w:numPr>
        <w:spacing w:before="0" w:after="49"/>
        <w:ind w:hanging="360" w:start="705" w:end="5"/>
        <w:rPr/>
      </w:pPr>
      <w:r>
        <w:rPr/>
        <w:t xml:space="preserve">i </w:t>
      </w:r>
      <w:r>
        <w:rPr>
          <w:b/>
        </w:rPr>
        <w:t>docenti di religione cattolica</w:t>
      </w:r>
      <w:r>
        <w:rPr/>
        <w:t xml:space="preserve"> potranno presentare domanda di mobilità dal </w:t>
      </w:r>
      <w:r>
        <w:rPr>
          <w:b/>
        </w:rPr>
        <w:t>21 marzo 2026 al 17 aprile 2026</w:t>
      </w:r>
      <w:r>
        <w:rPr/>
        <w:t>;</w:t>
      </w:r>
    </w:p>
    <w:p>
      <w:pPr>
        <w:pStyle w:val="Normal"/>
        <w:numPr>
          <w:ilvl w:val="0"/>
          <w:numId w:val="1"/>
        </w:numPr>
        <w:spacing w:before="0" w:after="244"/>
        <w:ind w:hanging="360" w:start="705" w:end="5"/>
        <w:rPr/>
      </w:pPr>
      <w:r>
        <w:rPr/>
        <w:t xml:space="preserve">gli </w:t>
      </w:r>
      <w:r>
        <w:rPr>
          <w:b/>
        </w:rPr>
        <w:t>esiti</w:t>
      </w:r>
      <w:r>
        <w:rPr/>
        <w:t xml:space="preserve"> della mobilità saranno pubblicati il </w:t>
      </w:r>
      <w:r>
        <w:rPr>
          <w:b/>
        </w:rPr>
        <w:t>05 giugno 2026</w:t>
      </w:r>
      <w:r>
        <w:rPr/>
        <w:t>;</w:t>
      </w:r>
    </w:p>
    <w:p>
      <w:pPr>
        <w:pStyle w:val="Normal"/>
        <w:spacing w:before="0" w:after="346"/>
        <w:ind w:hanging="10" w:start="-5"/>
        <w:rPr>
          <w:b/>
        </w:rPr>
      </w:pPr>
      <w:r>
        <w:rPr>
          <w:b/>
        </w:rPr>
      </w:r>
    </w:p>
    <w:p>
      <w:pPr>
        <w:pStyle w:val="Normal"/>
        <w:spacing w:before="0" w:after="346"/>
        <w:ind w:hanging="10" w:start="-5"/>
        <w:rPr/>
      </w:pPr>
      <w:r>
        <w:rPr>
          <w:b/>
        </w:rPr>
        <w:t>TENUTO CONTO</w:t>
      </w:r>
      <w:r>
        <w:rPr/>
        <w:t xml:space="preserve"> che:</w:t>
      </w:r>
    </w:p>
    <w:p>
      <w:pPr>
        <w:pStyle w:val="Normal"/>
        <w:numPr>
          <w:ilvl w:val="0"/>
          <w:numId w:val="1"/>
        </w:numPr>
        <w:spacing w:before="0" w:after="22"/>
        <w:ind w:hanging="360" w:start="705" w:end="5"/>
        <w:rPr/>
      </w:pPr>
      <w:r>
        <w:rPr/>
        <w:t xml:space="preserve">il </w:t>
      </w:r>
      <w:r>
        <w:rPr>
          <w:b/>
        </w:rPr>
        <w:t>personale ATA</w:t>
      </w:r>
      <w:r>
        <w:rPr/>
        <w:t xml:space="preserve"> potrà presentare domanda di mobilità dal</w:t>
      </w:r>
      <w:r>
        <w:rPr>
          <w:b/>
        </w:rPr>
        <w:t xml:space="preserve"> 23 marzo 2026 al 13 aprile 2026</w:t>
      </w:r>
      <w:r>
        <w:rPr/>
        <w:t>;</w:t>
      </w:r>
    </w:p>
    <w:p>
      <w:pPr>
        <w:pStyle w:val="Normal"/>
        <w:numPr>
          <w:ilvl w:val="0"/>
          <w:numId w:val="1"/>
        </w:numPr>
        <w:spacing w:before="0" w:after="0"/>
        <w:ind w:hanging="360" w:start="705" w:end="5"/>
        <w:rPr/>
      </w:pPr>
      <w:r>
        <w:rPr/>
        <w:t>gli adempimenti di competenza degli uffici periferici del Ministero saranno chiusi entro il 21 maggio 2026;</w:t>
      </w:r>
    </w:p>
    <w:p>
      <w:pPr>
        <w:pStyle w:val="Normal"/>
        <w:numPr>
          <w:ilvl w:val="0"/>
          <w:numId w:val="1"/>
        </w:numPr>
        <w:spacing w:before="0" w:after="0"/>
        <w:ind w:hanging="360" w:start="705" w:end="5"/>
        <w:rPr/>
      </w:pPr>
      <w:r>
        <w:rPr/>
        <w:t xml:space="preserve">gli </w:t>
      </w:r>
      <w:r>
        <w:rPr>
          <w:b/>
        </w:rPr>
        <w:t>esiti</w:t>
      </w:r>
      <w:r>
        <w:rPr/>
        <w:t xml:space="preserve"> della mobilità saranno pubblicati il </w:t>
      </w:r>
      <w:r>
        <w:rPr>
          <w:b/>
        </w:rPr>
        <w:t>12 giugno 2026</w:t>
      </w:r>
      <w:r>
        <w:rPr/>
        <w:t>.</w:t>
      </w:r>
    </w:p>
    <w:p>
      <w:pPr>
        <w:pStyle w:val="Normal"/>
        <w:spacing w:before="0" w:after="0"/>
        <w:ind w:hanging="0" w:start="705" w:end="5"/>
        <w:rPr/>
      </w:pPr>
      <w:r>
        <w:rPr/>
      </w:r>
    </w:p>
    <w:p>
      <w:pPr>
        <w:pStyle w:val="Normal"/>
        <w:ind w:hanging="10" w:start="10" w:end="5"/>
        <w:jc w:val="both"/>
        <w:rPr/>
      </w:pPr>
      <w:r>
        <w:rPr>
          <w:b/>
        </w:rPr>
        <w:t>CONSIDERATO</w:t>
      </w:r>
      <w:r>
        <w:rPr/>
        <w:t xml:space="preserve"> che ai sensi dell’art. 21 c. 3 (docenti infanzia e primaria) del C.C.N.I. del 29 gennaio 2025, il Dirigente Scolastico provvede, entro i 15 giorni successivi al termine fissato dall’O.M. per la presentazione delle domande di mobilità, alla formazione e pubblicazione all’albo dell’istituzione scolastica delle relative graduatorie comprendenti gli insegnanti titolari su scuola, nel rispetto della disciplina prevista per la protezione dei dati personali, per l’individuazione dei docenti soprannumerari;</w:t>
      </w:r>
    </w:p>
    <w:p>
      <w:pPr>
        <w:pStyle w:val="Normal"/>
        <w:ind w:hanging="10" w:start="10" w:end="5"/>
        <w:jc w:val="both"/>
        <w:rPr/>
      </w:pPr>
      <w:r>
        <w:rPr>
          <w:b/>
        </w:rPr>
        <w:t>CONSIDERATO</w:t>
      </w:r>
      <w:r>
        <w:rPr/>
        <w:t xml:space="preserve"> che ai sensi dell’art. 21 c. 3 (personale Docente secondaria) del C.C.N.I. del 29 gennaio 2025, la Dirigente Scolastica, entro i 15 giorni successivi alla scadenza delle domande di trasferimento, formula e affigge all’Albo, nel rispetto della normativa sulla protezione dei dati personali, le graduatorie per l’individuazione dei soprannumerari in base alla relativa tabella di valutazione allegata al C.C.N.I., con le precisazioni concernenti i trasferimenti d’ufficio, tenendo presente che debbono essere valutati soltanto i titoli in possesso degli interessati entro il termine previsto per la presentazione della domanda di trasferimento.</w:t>
      </w:r>
    </w:p>
    <w:p>
      <w:pPr>
        <w:pStyle w:val="Normal"/>
        <w:spacing w:before="0" w:after="0"/>
        <w:ind w:hanging="10" w:start="10" w:end="5"/>
        <w:jc w:val="both"/>
        <w:rPr/>
      </w:pPr>
      <w:r>
        <w:rPr>
          <w:b/>
        </w:rPr>
        <w:t xml:space="preserve">CONSIDERATO </w:t>
      </w:r>
      <w:r>
        <w:rPr/>
        <w:t xml:space="preserve">che ai sensi dell’art. 45 c. 5 (personale ATA) del C.C.N.I. del 29 gennaio 2025, il Dirigente Scolastico, entro i 15 giorni successivi alla scadenza delle domande di trasferimento, formula, nel rispetto della normativa vigente in materia di protezione dei dati personali, e affigge all’albo le graduatorie per l’individuazione dei perdenti posto sulla base dei punteggi previsti dalla relativa tabella di valutazione allegata al C.C.N.I., con le precisazioni concernenti i </w:t>
      </w:r>
    </w:p>
    <w:p>
      <w:pPr>
        <w:pStyle w:val="Normal"/>
        <w:spacing w:before="0" w:after="0"/>
        <w:ind w:hanging="10" w:start="10" w:end="5"/>
        <w:jc w:val="both"/>
        <w:rPr/>
      </w:pPr>
      <w:r>
        <w:rPr/>
        <w:t>trasferimenti d’ufficio e tenendo presente che debbono essere valutati soltanto i titoli in possesso degli interessati entro il termine previsto per la presentazione della domanda di trasferimento;</w:t>
      </w:r>
    </w:p>
    <w:p>
      <w:pPr>
        <w:pStyle w:val="Heading1"/>
        <w:ind w:hanging="10" w:start="10" w:end="1"/>
        <w:rPr>
          <w:b w:val="false"/>
        </w:rPr>
      </w:pPr>
      <w:r>
        <w:rPr>
          <w:b w:val="false"/>
        </w:rPr>
        <w:t xml:space="preserve"> </w:t>
      </w:r>
    </w:p>
    <w:p>
      <w:pPr>
        <w:pStyle w:val="Heading1"/>
        <w:ind w:hanging="10" w:start="10" w:end="1"/>
        <w:rPr/>
      </w:pPr>
      <w:r>
        <w:rPr/>
        <w:t>DISPONE CHE</w:t>
      </w:r>
    </w:p>
    <w:p>
      <w:pPr>
        <w:pStyle w:val="Normal"/>
        <w:spacing w:before="0" w:after="376"/>
        <w:ind w:hanging="10" w:start="10" w:end="5"/>
        <w:jc w:val="both"/>
        <w:rPr/>
      </w:pPr>
      <w:r>
        <w:rPr/>
        <w:t xml:space="preserve">I TERMINI PER LA PRESENTAZIONE DELLA DOCUMENTAZIONE NECESSARIA ALLA FORMULAZIONE DELLA GRADUATORIA INTERNA PER LA DETERMINAZIONE DI EVENTUALE PERSONALE SOPRANNUMERARIO </w:t>
      </w:r>
    </w:p>
    <w:p>
      <w:pPr>
        <w:pStyle w:val="Normal"/>
        <w:numPr>
          <w:ilvl w:val="0"/>
          <w:numId w:val="2"/>
        </w:numPr>
        <w:spacing w:before="0" w:after="402"/>
        <w:ind w:hanging="360" w:start="705" w:end="490"/>
        <w:jc w:val="both"/>
        <w:rPr/>
      </w:pPr>
      <w:r>
        <w:rPr/>
        <w:t xml:space="preserve">I termini per la presentazione dei documenti necessari alla formulazione della graduatoria interna, per il </w:t>
      </w:r>
      <w:r>
        <w:rPr>
          <w:b/>
        </w:rPr>
        <w:t>personale docente</w:t>
      </w:r>
      <w:r>
        <w:rPr/>
        <w:t xml:space="preserve"> sono fissati alle ore 12:00 del </w:t>
      </w:r>
      <w:r>
        <w:rPr>
          <w:b/>
        </w:rPr>
        <w:t>25 marzo 2026</w:t>
      </w:r>
      <w:r>
        <w:rPr/>
        <w:t>;</w:t>
      </w:r>
    </w:p>
    <w:p>
      <w:pPr>
        <w:pStyle w:val="Normal"/>
        <w:numPr>
          <w:ilvl w:val="0"/>
          <w:numId w:val="2"/>
        </w:numPr>
        <w:spacing w:before="0" w:after="402"/>
        <w:ind w:hanging="360" w:start="705" w:end="490"/>
        <w:jc w:val="both"/>
        <w:rPr/>
      </w:pPr>
      <w:r>
        <w:rPr/>
        <w:t>I termini per la presentazione dei documenti necessari alla formulazione della graduatoria interna, per i</w:t>
      </w:r>
      <w:r>
        <w:rPr>
          <w:b/>
        </w:rPr>
        <w:t xml:space="preserve"> docenti di religione cattolica</w:t>
      </w:r>
      <w:r>
        <w:rPr/>
        <w:t xml:space="preserve"> sono fissati alle ore 12:00 del </w:t>
      </w:r>
      <w:r>
        <w:rPr>
          <w:b/>
        </w:rPr>
        <w:t>31 marzo 2026</w:t>
      </w:r>
      <w:r>
        <w:rPr/>
        <w:t>;</w:t>
      </w:r>
    </w:p>
    <w:p>
      <w:pPr>
        <w:pStyle w:val="Normal"/>
        <w:numPr>
          <w:ilvl w:val="0"/>
          <w:numId w:val="2"/>
        </w:numPr>
        <w:spacing w:before="0" w:after="318"/>
        <w:ind w:hanging="360" w:start="705" w:end="490"/>
        <w:jc w:val="both"/>
        <w:rPr/>
      </w:pPr>
      <w:r>
        <w:rPr/>
        <w:t>I termini per la presentazione dei documenti necessari alla formulazione della graduatoria interna, per il</w:t>
      </w:r>
      <w:r>
        <w:rPr>
          <w:b/>
        </w:rPr>
        <w:t xml:space="preserve"> personale ATA</w:t>
      </w:r>
      <w:r>
        <w:rPr/>
        <w:t xml:space="preserve"> sono fissati alle ore 12:00 del </w:t>
      </w:r>
      <w:r>
        <w:rPr>
          <w:b/>
        </w:rPr>
        <w:t>10 aprile 2026</w:t>
      </w:r>
      <w:r>
        <w:rPr/>
        <w:t>.</w:t>
      </w:r>
    </w:p>
    <w:p>
      <w:pPr>
        <w:pStyle w:val="Normal"/>
        <w:spacing w:before="0" w:after="7"/>
        <w:ind w:hanging="10" w:start="10" w:end="5"/>
        <w:jc w:val="both"/>
        <w:rPr/>
      </w:pPr>
      <w:r>
        <w:rPr/>
        <w:t xml:space="preserve">MODALITÀ DI PRESENTAZIONE DELLA DOCUMENTAZIONE NECESSARIA ALLA FORMULAZIONE DELLA GRADUATORIA </w:t>
      </w:r>
    </w:p>
    <w:p>
      <w:pPr>
        <w:pStyle w:val="Normal"/>
        <w:ind w:hanging="10" w:start="10" w:end="5"/>
        <w:jc w:val="both"/>
        <w:rPr/>
      </w:pPr>
      <w:r>
        <w:rPr/>
        <w:t>INTERNA PER LA DETERMINAZIONE DI EVENTUALE PERSONALE SOPRANNUMERARIO</w:t>
      </w:r>
    </w:p>
    <w:p>
      <w:pPr>
        <w:pStyle w:val="Normal"/>
        <w:ind w:hanging="10" w:start="-5"/>
        <w:jc w:val="both"/>
        <w:rPr/>
      </w:pPr>
      <w:r>
        <w:rPr>
          <w:b/>
        </w:rPr>
        <w:t>DOCENTI</w:t>
      </w:r>
    </w:p>
    <w:p>
      <w:pPr>
        <w:pStyle w:val="Normal"/>
        <w:spacing w:before="0" w:after="374"/>
        <w:ind w:hanging="10" w:start="10" w:end="5"/>
        <w:jc w:val="both"/>
        <w:rPr/>
      </w:pPr>
      <w:r>
        <w:rPr/>
        <w:t>Il personale docente già inserito nelle graduatorie di istituto nell’anno scolastico precedente invierà entro i termini fissati al punto a, all’indirizzo di posta istituzionale PAIC87400B@ISTRUZIONE.IT la seguente documentazione in formato PDF, debitamente compilata secondo la modulistica predisposta:</w:t>
      </w:r>
    </w:p>
    <w:p>
      <w:pPr>
        <w:pStyle w:val="ListParagraph"/>
        <w:numPr>
          <w:ilvl w:val="0"/>
          <w:numId w:val="6"/>
        </w:numPr>
        <w:spacing w:before="0" w:after="374"/>
        <w:ind w:hanging="360" w:start="1080" w:end="5"/>
        <w:contextualSpacing/>
        <w:jc w:val="both"/>
        <w:rPr/>
      </w:pPr>
      <w:r>
        <w:rPr/>
        <w:t>Dichiarazione conferma e/o variazione dati;</w:t>
      </w:r>
    </w:p>
    <w:p>
      <w:pPr>
        <w:pStyle w:val="Normal"/>
        <w:spacing w:before="0" w:after="374"/>
        <w:ind w:hanging="10" w:start="10" w:end="5"/>
        <w:jc w:val="both"/>
        <w:rPr/>
      </w:pPr>
      <w:r>
        <w:rPr/>
        <w:t>Il personale docente inserito per la prima volta nel corrente anno scolastico, invierà entro i termini fissati al punto a, all’indirizzo di posta istituzionale PAIC87400B@ISTRUZIONE.IT la seguente documentazione in formato PDF, debitamente compilata secondo la modulistica predisposta:</w:t>
      </w:r>
    </w:p>
    <w:p>
      <w:pPr>
        <w:pStyle w:val="Normal"/>
        <w:numPr>
          <w:ilvl w:val="0"/>
          <w:numId w:val="3"/>
        </w:numPr>
        <w:spacing w:before="0" w:after="0"/>
        <w:ind w:hanging="360" w:start="705" w:end="5"/>
        <w:jc w:val="both"/>
        <w:rPr/>
      </w:pPr>
      <w:r>
        <w:rPr/>
        <w:t>Scheda soprannumerario DOCENTE;</w:t>
      </w:r>
    </w:p>
    <w:p>
      <w:pPr>
        <w:pStyle w:val="Normal"/>
        <w:numPr>
          <w:ilvl w:val="0"/>
          <w:numId w:val="3"/>
        </w:numPr>
        <w:spacing w:before="0" w:after="0"/>
        <w:ind w:hanging="360" w:start="705" w:end="5"/>
        <w:jc w:val="both"/>
        <w:rPr/>
      </w:pPr>
      <w:r>
        <w:rPr/>
        <w:t>Dichiarazione personale cumulativa DOCENTE.</w:t>
      </w:r>
    </w:p>
    <w:p>
      <w:pPr>
        <w:pStyle w:val="Normal"/>
        <w:spacing w:before="0" w:after="0"/>
        <w:ind w:hanging="0" w:start="705" w:end="5"/>
        <w:jc w:val="both"/>
        <w:rPr/>
      </w:pPr>
      <w:r>
        <w:rPr/>
      </w:r>
    </w:p>
    <w:p>
      <w:pPr>
        <w:pStyle w:val="Normal"/>
        <w:spacing w:before="0" w:after="374"/>
        <w:ind w:hanging="10" w:start="10" w:end="5"/>
        <w:jc w:val="both"/>
        <w:rPr/>
      </w:pPr>
      <w:r>
        <w:rPr/>
        <w:t>Il personale docente che usufruisce di diritto all’esclusione dalla graduatoria invierà entro i termini fissati al punto a, all’indirizzo di posta istituzionale PAIC87400B@ISTRUZIONE.IT la seguente documentazione in formato PDF, debitamente compilata secondo la modulistica predisposta:</w:t>
      </w:r>
    </w:p>
    <w:p>
      <w:pPr>
        <w:pStyle w:val="ListParagraph"/>
        <w:numPr>
          <w:ilvl w:val="0"/>
          <w:numId w:val="5"/>
        </w:numPr>
        <w:ind w:hanging="360" w:start="720" w:end="5"/>
        <w:jc w:val="both"/>
        <w:rPr>
          <w:bCs/>
          <w:szCs w:val="20"/>
        </w:rPr>
      </w:pPr>
      <w:r>
        <w:rPr>
          <w:rFonts w:eastAsia="Verdana"/>
          <w:bCs/>
          <w:szCs w:val="20"/>
        </w:rPr>
        <w:t>Dichiarazione personale per il diritto all’esclusione dalla graduatoria d’istituto per l’individuazione dei perdenti posto</w:t>
      </w:r>
    </w:p>
    <w:p>
      <w:pPr>
        <w:pStyle w:val="Normal"/>
        <w:ind w:hanging="10" w:start="-5"/>
        <w:jc w:val="both"/>
        <w:rPr/>
      </w:pPr>
      <w:r>
        <w:rPr>
          <w:b/>
        </w:rPr>
        <w:t>PRINCIPALI NOVITÀ CCNI 2025-2028</w:t>
      </w:r>
    </w:p>
    <w:p>
      <w:pPr>
        <w:pStyle w:val="Normal"/>
        <w:ind w:hanging="10" w:start="10" w:end="5"/>
        <w:jc w:val="both"/>
        <w:rPr/>
      </w:pPr>
      <w:r>
        <w:rPr/>
        <w:t xml:space="preserve">L’Ipotesi di Contratto per la mobilità del personale docente, ATA ed educativo per il triennio 2025/28 presenta delle novità per le GRADUATORIE INTERNE DI ISTITUTO ai fini dell’individuazione dell’eventuale docente perdente posto in caso di contrazione dell’organico per l’anno successivo. </w:t>
      </w:r>
    </w:p>
    <w:p>
      <w:pPr>
        <w:pStyle w:val="Normal"/>
        <w:ind w:hanging="10" w:start="10" w:end="5"/>
        <w:jc w:val="both"/>
        <w:rPr/>
      </w:pPr>
      <w:r>
        <w:rPr/>
        <w:t>La tabella di valutazione di riferimento è la tabella A “</w:t>
      </w:r>
      <w:r>
        <w:rPr>
          <w:i/>
        </w:rPr>
        <w:t>Tabella di valutazione dei titoli ai fini dei trasferimenti a domanda e d’ufficio del personale docente ed educativo</w:t>
      </w:r>
      <w:r>
        <w:rPr/>
        <w:t>” allegata al CCNI, con le precisazioni riguardanti i trasferimenti d’ufficio.</w:t>
      </w:r>
    </w:p>
    <w:p>
      <w:pPr>
        <w:pStyle w:val="Normal"/>
        <w:spacing w:before="0" w:after="346"/>
        <w:ind w:hanging="10" w:start="-5"/>
        <w:jc w:val="both"/>
        <w:rPr/>
      </w:pPr>
      <w:r>
        <w:rPr/>
        <w:t xml:space="preserve"> </w:t>
      </w:r>
      <w:r>
        <w:rPr>
          <w:b/>
        </w:rPr>
        <w:t>Punteggio per i figli</w:t>
      </w:r>
    </w:p>
    <w:p>
      <w:pPr>
        <w:pStyle w:val="Normal"/>
        <w:numPr>
          <w:ilvl w:val="0"/>
          <w:numId w:val="4"/>
        </w:numPr>
        <w:spacing w:before="0" w:after="22"/>
        <w:ind w:hanging="360" w:start="705" w:end="5"/>
        <w:jc w:val="both"/>
        <w:rPr/>
      </w:pPr>
      <w:r>
        <w:rPr/>
        <w:t>punti 5 per ogni figlio di età inferiore a sei anni (nel precedente CCNI erano attribuiti punti 4);</w:t>
      </w:r>
    </w:p>
    <w:p>
      <w:pPr>
        <w:pStyle w:val="Normal"/>
        <w:numPr>
          <w:ilvl w:val="0"/>
          <w:numId w:val="4"/>
        </w:numPr>
        <w:spacing w:lineRule="auto" w:line="240" w:before="0" w:after="280"/>
        <w:ind w:hanging="360" w:start="705" w:end="5"/>
        <w:jc w:val="both"/>
        <w:rPr/>
      </w:pPr>
      <w:r>
        <w:rPr/>
        <w:t>punti 4 per ogni figlio d’età superiore ai sei anni e inferiore a 18 ovvero per ogni figlio maggiorenne che risulti totalmente o permanentemente inabile a proficuo lavoro (nel precedente CCNI erano attribuiti punti 3).</w:t>
      </w:r>
    </w:p>
    <w:p>
      <w:pPr>
        <w:pStyle w:val="Normal"/>
        <w:ind w:hanging="10" w:start="10" w:end="5"/>
        <w:jc w:val="both"/>
        <w:rPr/>
      </w:pPr>
      <w:r>
        <w:rPr/>
        <w:t xml:space="preserve">Evidenziamo che il punteggio spetta anche per i figli che compiono i 6 anni o i 18 tra il 1° gennaio e il 31 dicembre dell’anno considerato. </w:t>
      </w:r>
    </w:p>
    <w:p>
      <w:pPr>
        <w:pStyle w:val="Normal"/>
        <w:ind w:hanging="10" w:start="-5"/>
        <w:jc w:val="both"/>
        <w:rPr/>
      </w:pPr>
      <w:r>
        <w:rPr/>
        <w:t xml:space="preserve"> </w:t>
      </w:r>
      <w:r>
        <w:rPr>
          <w:b/>
        </w:rPr>
        <w:t>Punteggio di continuità</w:t>
      </w:r>
    </w:p>
    <w:p>
      <w:pPr>
        <w:pStyle w:val="Normal"/>
        <w:spacing w:before="0" w:after="343"/>
        <w:ind w:hanging="10" w:start="10" w:end="5"/>
        <w:jc w:val="both"/>
        <w:rPr/>
      </w:pPr>
      <w:r>
        <w:rPr/>
        <w:t>Nel nuovo CCNI 2025/28 per ogni anno di servizio di ruolo prestato nella scuola di attuale titolarità sono attribuiti:</w:t>
      </w:r>
    </w:p>
    <w:p>
      <w:pPr>
        <w:pStyle w:val="Normal"/>
        <w:numPr>
          <w:ilvl w:val="0"/>
          <w:numId w:val="4"/>
        </w:numPr>
        <w:spacing w:before="0" w:after="20"/>
        <w:ind w:hanging="360" w:start="705" w:end="5"/>
        <w:jc w:val="both"/>
        <w:rPr/>
      </w:pPr>
      <w:r>
        <w:rPr/>
        <w:t>4 punti primo anno</w:t>
      </w:r>
    </w:p>
    <w:p>
      <w:pPr>
        <w:pStyle w:val="Normal"/>
        <w:numPr>
          <w:ilvl w:val="0"/>
          <w:numId w:val="4"/>
        </w:numPr>
        <w:spacing w:before="0" w:after="20"/>
        <w:ind w:hanging="360" w:start="705" w:end="5"/>
        <w:jc w:val="both"/>
        <w:rPr/>
      </w:pPr>
      <w:r>
        <w:rPr/>
        <w:t>4 punti secondo anno</w:t>
      </w:r>
    </w:p>
    <w:p>
      <w:pPr>
        <w:pStyle w:val="Normal"/>
        <w:numPr>
          <w:ilvl w:val="0"/>
          <w:numId w:val="4"/>
        </w:numPr>
        <w:spacing w:before="0" w:after="20"/>
        <w:ind w:hanging="360" w:start="705" w:end="5"/>
        <w:jc w:val="both"/>
        <w:rPr/>
      </w:pPr>
      <w:r>
        <w:rPr/>
        <w:t>4 punti terzo anno</w:t>
      </w:r>
    </w:p>
    <w:p>
      <w:pPr>
        <w:pStyle w:val="Normal"/>
        <w:numPr>
          <w:ilvl w:val="0"/>
          <w:numId w:val="4"/>
        </w:numPr>
        <w:spacing w:before="0" w:after="20"/>
        <w:ind w:hanging="360" w:start="705" w:end="5"/>
        <w:jc w:val="both"/>
        <w:rPr/>
      </w:pPr>
      <w:r>
        <w:rPr/>
        <w:t>5 punti quarto anno</w:t>
      </w:r>
    </w:p>
    <w:p>
      <w:pPr>
        <w:pStyle w:val="Normal"/>
        <w:numPr>
          <w:ilvl w:val="0"/>
          <w:numId w:val="4"/>
        </w:numPr>
        <w:spacing w:before="0" w:after="20"/>
        <w:ind w:hanging="360" w:start="705" w:end="5"/>
        <w:jc w:val="both"/>
        <w:rPr/>
      </w:pPr>
      <w:r>
        <w:rPr/>
        <w:t>5 punti quinto anno</w:t>
      </w:r>
    </w:p>
    <w:p>
      <w:pPr>
        <w:pStyle w:val="Normal"/>
        <w:numPr>
          <w:ilvl w:val="0"/>
          <w:numId w:val="4"/>
        </w:numPr>
        <w:spacing w:before="0" w:after="244"/>
        <w:ind w:hanging="360" w:start="705" w:end="5"/>
        <w:jc w:val="both"/>
        <w:rPr/>
      </w:pPr>
      <w:r>
        <w:rPr/>
        <w:t>6 punti dal sesto in poi</w:t>
      </w:r>
    </w:p>
    <w:p>
      <w:pPr>
        <w:pStyle w:val="Normal"/>
        <w:ind w:hanging="10" w:start="10" w:end="5"/>
        <w:jc w:val="both"/>
        <w:rPr/>
      </w:pPr>
      <w:r>
        <w:rPr/>
        <w:t>Dal sesto anno in poi 6 punti per ciascun anno di servizio.</w:t>
      </w:r>
    </w:p>
    <w:p>
      <w:pPr>
        <w:pStyle w:val="Normal"/>
        <w:ind w:hanging="10" w:start="-5"/>
        <w:jc w:val="both"/>
        <w:rPr/>
      </w:pPr>
      <w:r>
        <w:rPr>
          <w:b/>
        </w:rPr>
        <w:t>Punteggio servizio pre-ruolo</w:t>
      </w:r>
    </w:p>
    <w:p>
      <w:pPr>
        <w:pStyle w:val="Normal"/>
        <w:ind w:hanging="10" w:start="10" w:end="5"/>
        <w:jc w:val="both"/>
        <w:rPr/>
      </w:pPr>
      <w:r>
        <w:rPr/>
        <w:t>L’attribuzione del punteggio per il servizio in esame (pre-ruolo) varia, a seconda se il pre-ruolo sia stato prestato o meno nel ruolo di attuale titolarità.</w:t>
      </w:r>
    </w:p>
    <w:p>
      <w:pPr>
        <w:pStyle w:val="Normal"/>
        <w:spacing w:before="0" w:after="345"/>
        <w:ind w:hanging="10" w:start="10" w:end="5"/>
        <w:jc w:val="both"/>
        <w:rPr/>
      </w:pPr>
      <w:r>
        <w:rPr/>
        <w:t xml:space="preserve">Per il servizio </w:t>
      </w:r>
      <w:r>
        <w:rPr>
          <w:b/>
        </w:rPr>
        <w:t>pre-ruolo</w:t>
      </w:r>
      <w:r>
        <w:rPr/>
        <w:t xml:space="preserve"> prestato</w:t>
      </w:r>
      <w:r>
        <w:rPr>
          <w:b/>
        </w:rPr>
        <w:t xml:space="preserve"> nel ruolo di attuale titolarità</w:t>
      </w:r>
      <w:r>
        <w:rPr/>
        <w:t>, sono attribuiti:</w:t>
      </w:r>
    </w:p>
    <w:p>
      <w:pPr>
        <w:pStyle w:val="Normal"/>
        <w:numPr>
          <w:ilvl w:val="0"/>
          <w:numId w:val="4"/>
        </w:numPr>
        <w:spacing w:before="0" w:after="244"/>
        <w:ind w:hanging="360" w:start="705" w:end="5"/>
        <w:jc w:val="both"/>
        <w:rPr/>
      </w:pPr>
      <w:r>
        <w:rPr/>
        <w:t xml:space="preserve">per l’a.s. 2026/27, </w:t>
      </w:r>
      <w:r>
        <w:rPr>
          <w:b/>
        </w:rPr>
        <w:t>punti 5</w:t>
      </w:r>
      <w:r>
        <w:rPr/>
        <w:t xml:space="preserve"> per ciascun anno di servizio per tutti gli anni</w:t>
      </w:r>
    </w:p>
    <w:p>
      <w:pPr>
        <w:pStyle w:val="Normal"/>
        <w:spacing w:before="0" w:after="349"/>
        <w:ind w:hanging="10" w:start="10" w:end="5"/>
        <w:jc w:val="both"/>
        <w:rPr/>
      </w:pPr>
      <w:r>
        <w:rPr/>
        <w:t xml:space="preserve">Per il servizio </w:t>
      </w:r>
      <w:r>
        <w:rPr>
          <w:b/>
        </w:rPr>
        <w:t>pre-ruolo</w:t>
      </w:r>
      <w:r>
        <w:rPr/>
        <w:t xml:space="preserve"> prestato in un </w:t>
      </w:r>
      <w:r>
        <w:rPr>
          <w:b/>
        </w:rPr>
        <w:t>ruolo diverso</w:t>
      </w:r>
      <w:r>
        <w:rPr/>
        <w:t xml:space="preserve"> da quello attuale titolarità, sono attribuiti</w:t>
      </w:r>
      <w:r>
        <w:rPr>
          <w:b/>
        </w:rPr>
        <w:t xml:space="preserve"> punti 3 </w:t>
      </w:r>
      <w:r>
        <w:rPr/>
        <w:t>per ciascun anno di servizio, con le seguenti precisazioni:</w:t>
      </w:r>
    </w:p>
    <w:p>
      <w:pPr>
        <w:pStyle w:val="Normal"/>
        <w:numPr>
          <w:ilvl w:val="0"/>
          <w:numId w:val="4"/>
        </w:numPr>
        <w:spacing w:before="0" w:after="49"/>
        <w:ind w:hanging="360" w:start="705" w:end="5"/>
        <w:jc w:val="both"/>
        <w:rPr/>
      </w:pPr>
      <w:r>
        <w:rPr>
          <w:b/>
        </w:rPr>
        <w:t>titolari nella scuola primaria</w:t>
      </w:r>
      <w:r>
        <w:rPr/>
        <w:t>: gli anni di servizio pre-ruolo (e di ruolo) nella scuola dell’infanzia si valutano 3 punti ogni anno per tutti gli anni, fermo restando che gli anni di pre-ruolo svolti nella primaria si valutano come detto sopra (4 punti nel 25/26, 5 punti nel 26/27, 6 punti nel 27/28);</w:t>
      </w:r>
    </w:p>
    <w:p>
      <w:pPr>
        <w:pStyle w:val="Normal"/>
        <w:numPr>
          <w:ilvl w:val="0"/>
          <w:numId w:val="4"/>
        </w:numPr>
        <w:spacing w:before="0" w:after="49"/>
        <w:ind w:hanging="360" w:start="705" w:end="5"/>
        <w:jc w:val="both"/>
        <w:rPr/>
      </w:pPr>
      <w:r>
        <w:rPr>
          <w:b/>
        </w:rPr>
        <w:t>titolari nella scuola dell’infanzia</w:t>
      </w:r>
      <w:r>
        <w:rPr/>
        <w:t>: gli anni di servizio pre-ruolo (e di ruolo) nella scuola primaria si valutano 3 punti ogni anno per tutti gli anni, fermo restando che gli anni di pre-ruolo svolti nella scuola dell’infanzia si valutano come detto sopra (4 punti nel 25/26, 5 punti nel 26/27, 6 punti nel 27/28);</w:t>
      </w:r>
    </w:p>
    <w:p>
      <w:pPr>
        <w:pStyle w:val="Normal"/>
        <w:numPr>
          <w:ilvl w:val="0"/>
          <w:numId w:val="4"/>
        </w:numPr>
        <w:ind w:hanging="360" w:start="705" w:end="5"/>
        <w:jc w:val="both"/>
        <w:rPr/>
      </w:pPr>
      <w:r>
        <w:rPr>
          <w:b/>
        </w:rPr>
        <w:t>titolari nella scuola primaria</w:t>
      </w:r>
      <w:r>
        <w:rPr/>
        <w:t>: gli anni di servizio pre-ruolo (di ruolo) prestato nella scuola secondaria di primo grado/secondo grado si valutano 3 punti per i primi quattro anni e 2 per i successivi, fermo restando che gli anni di pre-ruolo svolti nella primaria sono valutati come detto sopra (4 punti nel 25/26, 5 punti nel 26/27, 6 punti nel 27/28);</w:t>
      </w:r>
    </w:p>
    <w:p>
      <w:pPr>
        <w:pStyle w:val="Normal"/>
        <w:numPr>
          <w:ilvl w:val="0"/>
          <w:numId w:val="4"/>
        </w:numPr>
        <w:spacing w:before="0" w:after="49"/>
        <w:ind w:hanging="360" w:start="705" w:end="5"/>
        <w:jc w:val="both"/>
        <w:rPr/>
      </w:pPr>
      <w:r>
        <w:rPr>
          <w:b/>
        </w:rPr>
        <w:t>titolari nella scuola dell’infanzia</w:t>
      </w:r>
      <w:r>
        <w:rPr/>
        <w:t xml:space="preserve">: gli anni di servizio pre-ruolo (di ruolo) prestato nella scuola secondaria di primo grado/secondo grado si valutano 3 punti per i primi quattro anni e 2 per i successivi, fermo restando che gli anni di pre-ruolo svolti nella scuola dell’infanzia sono valutati come detto sopra (4 punti nel 25/26, 5 </w:t>
      </w:r>
    </w:p>
    <w:p>
      <w:pPr>
        <w:pStyle w:val="Normal"/>
        <w:spacing w:before="0" w:after="49"/>
        <w:ind w:hanging="0" w:start="705" w:end="5"/>
        <w:jc w:val="both"/>
        <w:rPr/>
      </w:pPr>
      <w:r>
        <w:rPr/>
        <w:t>punti nel 26/27, 6 punti nel 27/28);</w:t>
      </w:r>
    </w:p>
    <w:p>
      <w:pPr>
        <w:pStyle w:val="Normal"/>
        <w:numPr>
          <w:ilvl w:val="0"/>
          <w:numId w:val="4"/>
        </w:numPr>
        <w:spacing w:before="0" w:after="49"/>
        <w:ind w:hanging="360" w:start="705" w:end="5"/>
        <w:jc w:val="both"/>
        <w:rPr/>
      </w:pPr>
      <w:r>
        <w:rPr>
          <w:b/>
        </w:rPr>
        <w:t>titolari nella scuola secondaria di II grado</w:t>
      </w:r>
      <w:r>
        <w:rPr/>
        <w:t>: gli anni di servizio pre-ruolo (e di ruolo) nella scuola secondaria di I grado si valutano 3 punti ogni anno per tutti gli anni, fermo restando che gli anni di pre-ruolo svolti nella secondaria di II grado si valutano come detto sopra (4 punti nel 25/26, 5 punti nel 26/27, 6 punti nel 27/28);</w:t>
      </w:r>
    </w:p>
    <w:p>
      <w:pPr>
        <w:pStyle w:val="Normal"/>
        <w:numPr>
          <w:ilvl w:val="0"/>
          <w:numId w:val="4"/>
        </w:numPr>
        <w:spacing w:before="0" w:after="49"/>
        <w:ind w:hanging="360" w:start="705" w:end="5"/>
        <w:jc w:val="both"/>
        <w:rPr/>
      </w:pPr>
      <w:r>
        <w:rPr>
          <w:b/>
        </w:rPr>
        <w:t>titolari nella scuola secondaria di I grado</w:t>
      </w:r>
      <w:r>
        <w:rPr/>
        <w:t>: gli anni di servizio pre-ruolo (e di ruolo) nella scuola secondaria di II grado si valutano 3 punti ogni anno per tutti gli anni, fermo restando che gli anni di pre-ruolo svolti nella secondaria di I grado si valutano come detto sopra (4 punti nel 25/26, 5 punti nel 26/27, 6 punti nel 27/28);</w:t>
      </w:r>
    </w:p>
    <w:p>
      <w:pPr>
        <w:pStyle w:val="Normal"/>
        <w:numPr>
          <w:ilvl w:val="0"/>
          <w:numId w:val="4"/>
        </w:numPr>
        <w:spacing w:before="0" w:after="49"/>
        <w:ind w:hanging="360" w:start="705" w:end="5"/>
        <w:jc w:val="both"/>
        <w:rPr/>
      </w:pPr>
      <w:r>
        <w:rPr>
          <w:b/>
        </w:rPr>
        <w:t>titolari nella scuola secondaria di I grado</w:t>
      </w:r>
      <w:r>
        <w:rPr/>
        <w:t>: gli anni di servizio pre-ruolo (e di ruolo) nella scuola dell’infanzia/primaria si valutano 3 punti per i primi quattro anni e 2 per i successivi, fermo restando che gli anni pre-ruolo svolti nella secondaria di I grado si valutano come detto sopra (4 punti nel 25/26, 5 punti nel 26/27, 6 punti nel 27/28);</w:t>
      </w:r>
    </w:p>
    <w:p>
      <w:pPr>
        <w:pStyle w:val="Normal"/>
        <w:numPr>
          <w:ilvl w:val="0"/>
          <w:numId w:val="4"/>
        </w:numPr>
        <w:ind w:hanging="360" w:start="705" w:end="5"/>
        <w:jc w:val="both"/>
        <w:rPr/>
      </w:pPr>
      <w:r>
        <w:rPr>
          <w:b/>
        </w:rPr>
        <w:t>titolari nella scuola secondaria di II grado</w:t>
      </w:r>
      <w:r>
        <w:rPr/>
        <w:t>: gli anni di servizio pre-ruolo (e di ruolo) nella scuola dell’infanzia/primaria si valutano 3 punti per i primi quattro anni e 2 per i successivi, fermo restando che gli anni di pre-ruolo svolti nella secondaria di II grado si valutano come detto sopra (4 punti nel 25/26, 5 punti nel 26/27, 6 punti nel 27/28).</w:t>
      </w:r>
    </w:p>
    <w:p>
      <w:pPr>
        <w:pStyle w:val="Normal"/>
        <w:spacing w:before="0" w:after="345"/>
        <w:ind w:hanging="10" w:start="10" w:end="5"/>
        <w:jc w:val="both"/>
        <w:rPr/>
      </w:pPr>
      <w:r>
        <w:rPr/>
        <w:t>Si ricorda che:</w:t>
      </w:r>
    </w:p>
    <w:p>
      <w:pPr>
        <w:pStyle w:val="Normal"/>
        <w:numPr>
          <w:ilvl w:val="0"/>
          <w:numId w:val="4"/>
        </w:numPr>
        <w:spacing w:before="0" w:after="49"/>
        <w:ind w:hanging="360" w:start="705" w:end="5"/>
        <w:jc w:val="both"/>
        <w:rPr/>
      </w:pPr>
      <w:r>
        <w:rPr/>
        <w:t>è valutabile il servizio pre-ruolo se (nel corso dell’anno di interesse) sia prestato un servizio – anche non continuativo – per almeno 180 giorni o ininterrottamente dal 1° febbraio fino al termine delle operazioni di scrutinio finale o, per la scuola dell’infanzia, fino al termine delle attività educative;</w:t>
      </w:r>
    </w:p>
    <w:p>
      <w:pPr>
        <w:pStyle w:val="Normal"/>
        <w:numPr>
          <w:ilvl w:val="0"/>
          <w:numId w:val="4"/>
        </w:numPr>
        <w:spacing w:before="0" w:after="49"/>
        <w:ind w:hanging="360" w:start="705" w:end="5"/>
        <w:jc w:val="both"/>
        <w:rPr/>
      </w:pPr>
      <w:r>
        <w:rPr/>
        <w:t>è valutabile il servizio pre-ruolo prestato senza il prescritto titolo di specializzazione in scuole speciali o su posti di sostegno;</w:t>
      </w:r>
    </w:p>
    <w:p>
      <w:pPr>
        <w:pStyle w:val="Normal"/>
        <w:numPr>
          <w:ilvl w:val="0"/>
          <w:numId w:val="4"/>
        </w:numPr>
        <w:spacing w:before="0" w:after="49"/>
        <w:ind w:hanging="360" w:start="705" w:end="5"/>
        <w:jc w:val="both"/>
        <w:rPr/>
      </w:pPr>
      <w:r>
        <w:rPr/>
        <w:t>per i titolari su posto di sostegno, per ogni anno di insegnamento pre-ruolo su sostegno, prestato con il possesso del prescritto titolo di specializzazione, il punteggio è raddoppiato;</w:t>
      </w:r>
    </w:p>
    <w:p>
      <w:pPr>
        <w:pStyle w:val="Normal"/>
        <w:numPr>
          <w:ilvl w:val="0"/>
          <w:numId w:val="4"/>
        </w:numPr>
        <w:spacing w:before="0" w:after="49"/>
        <w:ind w:hanging="360" w:start="705" w:end="5"/>
        <w:jc w:val="both"/>
        <w:rPr/>
      </w:pPr>
      <w:r>
        <w:rPr/>
        <w:t>relativamente agli insegnanti di scuola primaria, per ogni anno di insegnamento in scuola di montagna, ai sensi della L. n. 90/1957, il punteggio è raddoppiato;</w:t>
      </w:r>
    </w:p>
    <w:p>
      <w:pPr>
        <w:pStyle w:val="Normal"/>
        <w:numPr>
          <w:ilvl w:val="0"/>
          <w:numId w:val="4"/>
        </w:numPr>
        <w:spacing w:before="0" w:after="244"/>
        <w:ind w:hanging="360" w:start="705" w:end="5"/>
        <w:jc w:val="both"/>
        <w:rPr/>
      </w:pPr>
      <w:r>
        <w:rPr/>
        <w:t>il punteggio suddetto si raddoppia, se il servizio è prestato nelle piccole isole.</w:t>
      </w:r>
    </w:p>
    <w:p>
      <w:pPr>
        <w:pStyle w:val="Normal"/>
        <w:ind w:hanging="10" w:start="-5"/>
        <w:jc w:val="both"/>
        <w:rPr>
          <w:b/>
        </w:rPr>
      </w:pPr>
      <w:r>
        <w:rPr>
          <w:b/>
        </w:rPr>
      </w:r>
    </w:p>
    <w:p>
      <w:pPr>
        <w:pStyle w:val="Normal"/>
        <w:ind w:hanging="10" w:start="-5"/>
        <w:jc w:val="both"/>
        <w:rPr>
          <w:b/>
        </w:rPr>
      </w:pPr>
      <w:r>
        <w:rPr>
          <w:b/>
        </w:rPr>
      </w:r>
    </w:p>
    <w:p>
      <w:pPr>
        <w:pStyle w:val="Normal"/>
        <w:ind w:hanging="10" w:start="-5"/>
        <w:jc w:val="both"/>
        <w:rPr/>
      </w:pPr>
      <w:r>
        <w:rPr>
          <w:b/>
        </w:rPr>
        <w:t>ATA</w:t>
      </w:r>
    </w:p>
    <w:p>
      <w:pPr>
        <w:pStyle w:val="Normal"/>
        <w:spacing w:before="0" w:after="374"/>
        <w:ind w:hanging="10" w:start="10" w:end="5"/>
        <w:jc w:val="both"/>
        <w:rPr/>
      </w:pPr>
      <w:r>
        <w:rPr/>
        <w:t>Il personale ATA già inserito nelle graduatorie di istituto nell’anno scolastico precedente invierà entro i termini fissati al punto c, all’indirizzo di posta istituzionale PAIC87400B@ISTRUZIONE.IT la seguente documentazione in formato PDF, debitamente compilata secondo la modulistica predisposta:</w:t>
      </w:r>
    </w:p>
    <w:p>
      <w:pPr>
        <w:pStyle w:val="ListParagraph"/>
        <w:numPr>
          <w:ilvl w:val="0"/>
          <w:numId w:val="9"/>
        </w:numPr>
        <w:spacing w:before="0" w:after="374"/>
        <w:ind w:hanging="360" w:start="1440" w:end="5"/>
        <w:contextualSpacing/>
        <w:jc w:val="both"/>
        <w:rPr/>
      </w:pPr>
      <w:r>
        <w:rPr/>
        <w:t>Dichiarazione conferma e/o variazione dati;</w:t>
      </w:r>
    </w:p>
    <w:p>
      <w:pPr>
        <w:pStyle w:val="Normal"/>
        <w:spacing w:before="0" w:after="374"/>
        <w:ind w:hanging="10" w:start="10" w:end="5"/>
        <w:jc w:val="both"/>
        <w:rPr/>
      </w:pPr>
      <w:r>
        <w:rPr/>
        <w:t>Il personale ATA inserito per la prima volta nel corrente anno scolastico, invierà entro i termini fissati al punto c, all’indirizzo di posta istituzionale PAIC87400B@ISTRUZIONE.IT la seguente documentazione in formato PDF, debitamente compilata secondo la modulistica predisposta:</w:t>
      </w:r>
    </w:p>
    <w:p>
      <w:pPr>
        <w:pStyle w:val="ListParagraph"/>
        <w:numPr>
          <w:ilvl w:val="0"/>
          <w:numId w:val="10"/>
        </w:numPr>
        <w:spacing w:before="0" w:after="368"/>
        <w:ind w:hanging="360" w:start="1065" w:end="5"/>
        <w:contextualSpacing/>
        <w:jc w:val="both"/>
        <w:rPr/>
      </w:pPr>
      <w:r>
        <w:rPr/>
        <w:t>Scheda soprannumerario ATA;</w:t>
      </w:r>
    </w:p>
    <w:p>
      <w:pPr>
        <w:pStyle w:val="ListParagraph"/>
        <w:numPr>
          <w:ilvl w:val="0"/>
          <w:numId w:val="10"/>
        </w:numPr>
        <w:ind w:hanging="360" w:start="1065" w:end="5"/>
        <w:jc w:val="both"/>
        <w:rPr/>
      </w:pPr>
      <w:r>
        <w:rPr/>
        <w:t>Dichiarazione personale cumulativa ATA.</w:t>
      </w:r>
    </w:p>
    <w:p>
      <w:pPr>
        <w:pStyle w:val="Heading1"/>
        <w:spacing w:before="0" w:after="308"/>
        <w:ind w:hanging="10" w:start="10" w:end="1"/>
        <w:rPr/>
      </w:pPr>
      <w:r>
        <w:rPr/>
        <w:t>MODULISTICA</w:t>
      </w:r>
    </w:p>
    <w:p>
      <w:pPr>
        <w:pStyle w:val="Normal"/>
        <w:spacing w:before="0" w:after="374"/>
        <w:ind w:hanging="10" w:start="10" w:end="5"/>
        <w:rPr/>
      </w:pPr>
      <w:r>
        <w:rPr/>
        <w:t xml:space="preserve">Si allegano in formato editabile (.docx, xlsx, .pdf) tutti i moduli richiamati nella presente comunicazione, nonché </w:t>
      </w:r>
      <w:r>
        <w:rPr>
          <w:b/>
        </w:rPr>
        <w:t>le note per la compilazione</w:t>
      </w:r>
      <w:r>
        <w:rPr/>
        <w:t>:</w:t>
      </w:r>
    </w:p>
    <w:p>
      <w:pPr>
        <w:pStyle w:val="ListParagraph"/>
        <w:numPr>
          <w:ilvl w:val="0"/>
          <w:numId w:val="7"/>
        </w:numPr>
        <w:spacing w:before="0" w:after="368"/>
        <w:ind w:hanging="10" w:start="1410" w:end="5"/>
        <w:contextualSpacing/>
        <w:rPr/>
      </w:pPr>
      <w:r>
        <w:rPr/>
        <w:t>Scheda soprannumerario DOCENTE;</w:t>
      </w:r>
    </w:p>
    <w:p>
      <w:pPr>
        <w:pStyle w:val="ListParagraph"/>
        <w:numPr>
          <w:ilvl w:val="0"/>
          <w:numId w:val="7"/>
        </w:numPr>
        <w:spacing w:before="0" w:after="368"/>
        <w:ind w:hanging="10" w:start="1410" w:end="5"/>
        <w:contextualSpacing/>
        <w:rPr/>
      </w:pPr>
      <w:r>
        <w:rPr/>
        <w:t>Dichiarazione personale cumulativa DOCENTE;</w:t>
      </w:r>
    </w:p>
    <w:p>
      <w:pPr>
        <w:pStyle w:val="ListParagraph"/>
        <w:numPr>
          <w:ilvl w:val="0"/>
          <w:numId w:val="7"/>
        </w:numPr>
        <w:spacing w:before="0" w:after="374"/>
        <w:ind w:hanging="10" w:start="1410" w:end="5"/>
        <w:contextualSpacing/>
        <w:jc w:val="both"/>
        <w:rPr/>
      </w:pPr>
      <w:r>
        <w:rPr/>
        <w:t>Dichiarazione conferma e/o variazione dati;</w:t>
      </w:r>
    </w:p>
    <w:p>
      <w:pPr>
        <w:pStyle w:val="ListParagraph"/>
        <w:numPr>
          <w:ilvl w:val="0"/>
          <w:numId w:val="7"/>
        </w:numPr>
        <w:ind w:hanging="10" w:start="1410" w:end="5"/>
        <w:jc w:val="both"/>
        <w:rPr>
          <w:bCs/>
          <w:szCs w:val="20"/>
        </w:rPr>
      </w:pPr>
      <w:r>
        <w:rPr>
          <w:rFonts w:eastAsia="Verdana"/>
          <w:bCs/>
          <w:szCs w:val="20"/>
        </w:rPr>
        <w:t>Dichiarazione personale per il diritto all’esclusione dalla graduatoria d’istituto per l’individuazione dei perdenti posto</w:t>
      </w:r>
    </w:p>
    <w:p>
      <w:pPr>
        <w:pStyle w:val="ListParagraph"/>
        <w:numPr>
          <w:ilvl w:val="0"/>
          <w:numId w:val="7"/>
        </w:numPr>
        <w:ind w:hanging="10" w:start="1410" w:end="5"/>
        <w:rPr/>
      </w:pPr>
      <w:r>
        <w:rPr/>
        <w:t>Note compilazione Scheda DOCENTI;</w:t>
      </w:r>
    </w:p>
    <w:p>
      <w:pPr>
        <w:pStyle w:val="ListParagraph"/>
        <w:numPr>
          <w:ilvl w:val="0"/>
          <w:numId w:val="7"/>
        </w:numPr>
        <w:spacing w:before="0" w:after="368"/>
        <w:ind w:hanging="10" w:start="1410" w:end="5"/>
        <w:contextualSpacing/>
        <w:rPr/>
      </w:pPr>
      <w:r>
        <w:rPr/>
        <w:t>Scheda soprannumerario ATA;</w:t>
      </w:r>
    </w:p>
    <w:p>
      <w:pPr>
        <w:pStyle w:val="ListParagraph"/>
        <w:numPr>
          <w:ilvl w:val="0"/>
          <w:numId w:val="7"/>
        </w:numPr>
        <w:spacing w:before="0" w:after="367"/>
        <w:ind w:hanging="10" w:start="1410" w:end="5"/>
        <w:contextualSpacing/>
        <w:rPr/>
      </w:pPr>
      <w:r>
        <w:rPr/>
        <w:t>Dichiarazione personale cumulativa ATA;</w:t>
      </w:r>
    </w:p>
    <w:p>
      <w:pPr>
        <w:pStyle w:val="ListParagraph"/>
        <w:numPr>
          <w:ilvl w:val="0"/>
          <w:numId w:val="7"/>
        </w:numPr>
        <w:spacing w:before="0" w:after="368"/>
        <w:ind w:hanging="10" w:start="1410" w:end="5"/>
        <w:contextualSpacing/>
        <w:rPr/>
      </w:pPr>
      <w:r>
        <w:rPr/>
        <w:t>Note compilazione Scheda ATA.</w:t>
      </w:r>
    </w:p>
    <w:p>
      <w:pPr>
        <w:pStyle w:val="ListParagraph"/>
        <w:numPr>
          <w:ilvl w:val="0"/>
          <w:numId w:val="7"/>
        </w:numPr>
        <w:spacing w:before="0" w:after="368"/>
        <w:ind w:hanging="10" w:start="1410" w:end="5"/>
        <w:contextualSpacing/>
        <w:rPr/>
      </w:pPr>
      <w:r>
        <w:rPr/>
        <w:t xml:space="preserve">Scheda graduatoria regionale su base diocesana per l'individuazione dei docenti soprannumerari relativamente all’organico di diritto a.s. 2026/27 </w:t>
      </w:r>
    </w:p>
    <w:p>
      <w:pPr>
        <w:pStyle w:val="ListParagraph"/>
        <w:numPr>
          <w:ilvl w:val="0"/>
          <w:numId w:val="0"/>
        </w:numPr>
        <w:spacing w:before="0" w:after="368"/>
        <w:ind w:hanging="0" w:start="1410" w:end="5"/>
        <w:contextualSpacing/>
        <w:rPr/>
      </w:pPr>
      <w:r>
        <w:rPr/>
      </w:r>
    </w:p>
    <w:p>
      <w:pPr>
        <w:pStyle w:val="ListParagraph"/>
        <w:spacing w:before="0" w:after="345"/>
        <w:ind w:hanging="0" w:start="720" w:end="5"/>
        <w:contextualSpacing/>
        <w:rPr/>
      </w:pPr>
      <w:r>
        <w:rPr/>
      </w:r>
    </w:p>
    <w:p>
      <w:pPr>
        <w:pStyle w:val="ListParagraph"/>
        <w:spacing w:before="0" w:after="345"/>
        <w:ind w:hanging="0" w:start="720" w:end="5"/>
        <w:contextualSpacing/>
        <w:rPr/>
      </w:pPr>
      <w:r>
        <w:rPr/>
      </w:r>
    </w:p>
    <w:p>
      <w:pPr>
        <w:pStyle w:val="ListParagraph"/>
        <w:spacing w:before="0" w:after="0"/>
        <w:ind w:hanging="0" w:start="720" w:end="5"/>
        <w:contextualSpacing/>
        <w:rPr/>
      </w:pPr>
      <w:r>
        <w:rPr/>
        <w:t>Normativa di riferimento</w:t>
      </w:r>
    </w:p>
    <w:p>
      <w:pPr>
        <w:pStyle w:val="ListParagraph"/>
        <w:numPr>
          <w:ilvl w:val="0"/>
          <w:numId w:val="8"/>
        </w:numPr>
        <w:spacing w:before="0" w:after="0"/>
        <w:ind w:hanging="360" w:start="720" w:end="5"/>
        <w:contextualSpacing/>
        <w:jc w:val="both"/>
        <w:rPr/>
      </w:pPr>
      <w:hyperlink r:id="rId8">
        <w:r>
          <w:rPr>
            <w:rStyle w:val="Hyperlink"/>
          </w:rPr>
          <w:t>l’Ordinanza Ministeriale n.43 del 12 marzo 2026,</w:t>
        </w:r>
      </w:hyperlink>
      <w:r>
        <w:rPr/>
        <w:t xml:space="preserve"> “Ordinanza sulla mobilità personale docente, educativo ed ATA per l’anno scolastico 2026/27”;</w:t>
      </w:r>
    </w:p>
    <w:p>
      <w:pPr>
        <w:pStyle w:val="ListParagraph"/>
        <w:numPr>
          <w:ilvl w:val="0"/>
          <w:numId w:val="8"/>
        </w:numPr>
        <w:spacing w:lineRule="auto" w:line="240" w:before="0" w:after="0"/>
        <w:ind w:hanging="360" w:start="720" w:end="5"/>
        <w:contextualSpacing/>
        <w:jc w:val="both"/>
        <w:rPr/>
      </w:pPr>
      <w:hyperlink r:id="rId9">
        <w:r>
          <w:rPr>
            <w:rStyle w:val="Hyperlink"/>
          </w:rPr>
          <w:t>l’Ordinanza Ministeriale n.44 del 12 marzo 2026</w:t>
        </w:r>
      </w:hyperlink>
      <w:r>
        <w:rPr/>
        <w:t>, “Ordinanza sulla mobilità degli insegnanti religione cattolica anno scolastico 2026/2027” ;</w:t>
      </w:r>
      <w:hyperlink r:id="rId10">
        <w:r>
          <w:rPr>
            <w:rStyle w:val="Style8"/>
            <w:u w:val="single" w:color="000000"/>
          </w:rPr>
          <w:t xml:space="preserve"> </w:t>
        </w:r>
      </w:hyperlink>
    </w:p>
    <w:p>
      <w:pPr>
        <w:pStyle w:val="ListParagraph"/>
        <w:numPr>
          <w:ilvl w:val="0"/>
          <w:numId w:val="8"/>
        </w:numPr>
        <w:spacing w:before="0" w:after="0"/>
        <w:contextualSpacing/>
        <w:rPr/>
      </w:pPr>
      <w:hyperlink r:id="rId11">
        <w:r>
          <w:rPr>
            <w:rStyle w:val="Style8"/>
            <w:u w:val="single" w:color="000000"/>
          </w:rPr>
          <w:t>Ipotesi d</w:t>
        </w:r>
      </w:hyperlink>
      <w:hyperlink r:id="rId12">
        <w:r>
          <w:rPr>
            <w:rStyle w:val="Style8"/>
            <w:u w:val="single" w:color="000000"/>
          </w:rPr>
          <w:t xml:space="preserve"> </w:t>
        </w:r>
      </w:hyperlink>
      <w:hyperlink r:id="rId13">
        <w:r>
          <w:rPr>
            <w:rStyle w:val="Style8"/>
            <w:u w:val="single" w:color="000000"/>
          </w:rPr>
          <w:t>i</w:t>
        </w:r>
      </w:hyperlink>
      <w:hyperlink r:id="rId14">
        <w:r>
          <w:rPr>
            <w:rStyle w:val="Style8"/>
            <w:u w:val="single" w:color="000000"/>
          </w:rPr>
          <w:t xml:space="preserve">  </w:t>
        </w:r>
      </w:hyperlink>
      <w:hyperlink r:id="rId15">
        <w:r>
          <w:rPr>
            <w:rStyle w:val="Style8"/>
            <w:u w:val="single" w:color="000000"/>
          </w:rPr>
          <w:t>Contratto Collettivo Nazionale Integrativo 29 gennaio 2025 mobilità personale docente, educativo</w:t>
        </w:r>
      </w:hyperlink>
      <w:hyperlink r:id="rId16">
        <w:r>
          <w:rPr>
            <w:rStyle w:val="Style8"/>
            <w:u w:val="single" w:color="000000"/>
          </w:rPr>
          <w:t xml:space="preserve"> </w:t>
        </w:r>
      </w:hyperlink>
      <w:hyperlink r:id="rId17">
        <w:r>
          <w:rPr>
            <w:rStyle w:val="Style8"/>
            <w:u w:val="single" w:color="000000"/>
          </w:rPr>
          <w:t>ed A.T.A. per gli anni scolastici del triennio 2025-2028</w:t>
        </w:r>
      </w:hyperlink>
      <w:r>
        <w:rPr/>
        <w:t>;</w:t>
      </w:r>
    </w:p>
    <w:p>
      <w:pPr>
        <w:pStyle w:val="ListParagraph"/>
        <w:numPr>
          <w:ilvl w:val="0"/>
          <w:numId w:val="8"/>
        </w:numPr>
        <w:spacing w:before="0" w:after="0"/>
        <w:contextualSpacing/>
        <w:rPr/>
      </w:pPr>
      <w:r>
        <w:rPr/>
        <w:t xml:space="preserve">Comunicazione USR </w:t>
      </w:r>
      <w:r>
        <w:rPr/>
        <w:t xml:space="preserve">Mobilità degli insegnanti di religione cattolica per l'a. s. 2026/2027 </w:t>
      </w:r>
    </w:p>
    <w:p>
      <w:pPr>
        <w:pStyle w:val="ListParagraph"/>
        <w:numPr>
          <w:ilvl w:val="0"/>
          <w:numId w:val="8"/>
        </w:numPr>
        <w:spacing w:before="0" w:after="0"/>
        <w:contextualSpacing/>
        <w:rPr/>
      </w:pPr>
      <w:r>
        <w:rPr/>
        <w:t>Indicazioni operative Mobilità docenti e ATA</w:t>
      </w:r>
    </w:p>
    <w:p>
      <w:pPr>
        <w:pStyle w:val="ListParagraph"/>
        <w:numPr>
          <w:ilvl w:val="0"/>
          <w:numId w:val="0"/>
        </w:numPr>
        <w:spacing w:before="0" w:after="0"/>
        <w:ind w:hanging="0" w:start="720"/>
        <w:contextualSpacing/>
        <w:rPr/>
      </w:pPr>
      <w:r>
        <w:rPr/>
      </w:r>
    </w:p>
    <w:p>
      <w:pPr>
        <w:pStyle w:val="Normal"/>
        <w:spacing w:lineRule="auto" w:line="259" w:before="0" w:after="0"/>
        <w:rPr/>
      </w:pPr>
      <w:r>
        <w:rPr/>
        <w:t>Palermo, 18/03/2026</w:t>
      </w:r>
    </w:p>
    <w:p>
      <w:pPr>
        <w:pStyle w:val="Normal"/>
        <w:spacing w:lineRule="auto" w:line="259" w:before="0" w:after="0"/>
        <w:rPr/>
      </w:pPr>
      <w:r>
        <w:rPr/>
      </w:r>
    </w:p>
    <w:p>
      <w:pPr>
        <w:pStyle w:val="Normal"/>
        <w:spacing w:lineRule="auto" w:line="259" w:before="0" w:after="0"/>
        <w:rPr/>
      </w:pPr>
      <w:r>
        <w:rPr/>
        <w:tab/>
        <w:tab/>
        <w:tab/>
        <w:tab/>
        <w:tab/>
        <w:tab/>
        <w:tab/>
        <w:tab/>
        <w:tab/>
        <w:tab/>
        <w:t>La Dirigente Scolastica</w:t>
      </w:r>
    </w:p>
    <w:p>
      <w:pPr>
        <w:pStyle w:val="Normal"/>
        <w:spacing w:lineRule="auto" w:line="259" w:before="0" w:after="0"/>
        <w:rPr/>
      </w:pPr>
      <w:r>
        <w:rPr/>
        <w:tab/>
        <w:tab/>
        <w:tab/>
        <w:tab/>
        <w:tab/>
        <w:tab/>
        <w:tab/>
        <w:tab/>
        <w:tab/>
        <w:t xml:space="preserve">                   F.to Santa Guzzetta</w:t>
      </w:r>
    </w:p>
    <w:sectPr>
      <w:type w:val="nextPage"/>
      <w:pgSz w:w="11906" w:h="16838"/>
      <w:pgMar w:left="1136" w:right="1131" w:gutter="0" w:header="0" w:top="1416" w:footer="0" w:bottom="1298"/>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alibri">
    <w:charset w:val="00" w:characterSet="windows-1252"/>
    <w:family w:val="swiss"/>
    <w:pitch w:val="variable"/>
  </w:font>
  <w:font w:name="Liberation Sans">
    <w:altName w:val="Arial"/>
    <w:charset w:val="00" w:characterSet="windows-1252"/>
    <w:family w:val="swiss"/>
    <w:pitch w:val="variable"/>
  </w:font>
  <w:font w:name="Arial">
    <w:charset w:val="01"/>
    <w:family w:val="swiss"/>
    <w:pitch w:val="variable"/>
  </w:font>
  <w:font w:name="Segoe UI Symbol">
    <w:charset w:val="0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05" w:hanging="0"/>
      </w:pPr>
      <w:rPr>
        <w:rFonts w:ascii="Arial" w:hAnsi="Arial" w:cs="Arial" w:hint="default"/>
        <w:dstrike w:val="false"/>
        <w:strike w:val="false"/>
        <w:vertAlign w:val="baseline"/>
        <w:position w:val="0"/>
        <w:sz w:val="20"/>
        <w:sz w:val="20"/>
        <w:i w:val="false"/>
        <w:u w:val="none" w:color="000000"/>
        <w:b w:val="false"/>
        <w:shd w:fill="auto" w:val="clear"/>
        <w:szCs w:val="20"/>
        <w:color w:val="000000"/>
      </w:rPr>
    </w:lvl>
    <w:lvl w:ilvl="1">
      <w:start w:val="1"/>
      <w:numFmt w:val="bullet"/>
      <w:lvlText w:val="o"/>
      <w:lvlJc w:val="start"/>
      <w:pPr>
        <w:tabs>
          <w:tab w:val="num" w:pos="0"/>
        </w:tabs>
        <w:ind w:start="1440" w:hanging="0"/>
      </w:pPr>
      <w:rPr>
        <w:rFonts w:ascii="Segoe UI Symbol" w:hAnsi="Segoe UI Symbol" w:cs="Segoe UI Symbol" w:hint="default"/>
        <w:dstrike w:val="false"/>
        <w:strike w:val="false"/>
        <w:vertAlign w:val="baseline"/>
        <w:position w:val="0"/>
        <w:sz w:val="20"/>
        <w:sz w:val="20"/>
        <w:i w:val="false"/>
        <w:u w:val="none" w:color="000000"/>
        <w:b w:val="false"/>
        <w:shd w:fill="auto" w:val="clear"/>
        <w:szCs w:val="20"/>
        <w:color w:val="000000"/>
      </w:rPr>
    </w:lvl>
    <w:lvl w:ilvl="2">
      <w:start w:val="1"/>
      <w:numFmt w:val="bullet"/>
      <w:lvlText w:val="▪"/>
      <w:lvlJc w:val="start"/>
      <w:pPr>
        <w:tabs>
          <w:tab w:val="num" w:pos="0"/>
        </w:tabs>
        <w:ind w:start="2160" w:hanging="0"/>
      </w:pPr>
      <w:rPr>
        <w:rFonts w:ascii="Segoe UI Symbol" w:hAnsi="Segoe UI Symbol" w:cs="Segoe UI Symbol" w:hint="default"/>
        <w:dstrike w:val="false"/>
        <w:strike w:val="false"/>
        <w:vertAlign w:val="baseline"/>
        <w:position w:val="0"/>
        <w:sz w:val="20"/>
        <w:sz w:val="20"/>
        <w:i w:val="false"/>
        <w:u w:val="none" w:color="000000"/>
        <w:b w:val="false"/>
        <w:shd w:fill="auto" w:val="clear"/>
        <w:szCs w:val="20"/>
        <w:color w:val="000000"/>
      </w:rPr>
    </w:lvl>
    <w:lvl w:ilvl="3">
      <w:start w:val="1"/>
      <w:numFmt w:val="bullet"/>
      <w:lvlText w:val="•"/>
      <w:lvlJc w:val="start"/>
      <w:pPr>
        <w:tabs>
          <w:tab w:val="num" w:pos="0"/>
        </w:tabs>
        <w:ind w:start="2880" w:hanging="0"/>
      </w:pPr>
      <w:rPr>
        <w:rFonts w:ascii="Arial" w:hAnsi="Arial" w:cs="Arial" w:hint="default"/>
        <w:dstrike w:val="false"/>
        <w:strike w:val="false"/>
        <w:vertAlign w:val="baseline"/>
        <w:position w:val="0"/>
        <w:sz w:val="20"/>
        <w:sz w:val="20"/>
        <w:i w:val="false"/>
        <w:u w:val="none" w:color="000000"/>
        <w:b w:val="false"/>
        <w:shd w:fill="auto" w:val="clear"/>
        <w:szCs w:val="20"/>
        <w:color w:val="000000"/>
      </w:rPr>
    </w:lvl>
    <w:lvl w:ilvl="4">
      <w:start w:val="1"/>
      <w:numFmt w:val="bullet"/>
      <w:lvlText w:val="o"/>
      <w:lvlJc w:val="start"/>
      <w:pPr>
        <w:tabs>
          <w:tab w:val="num" w:pos="0"/>
        </w:tabs>
        <w:ind w:start="3600" w:hanging="0"/>
      </w:pPr>
      <w:rPr>
        <w:rFonts w:ascii="Segoe UI Symbol" w:hAnsi="Segoe UI Symbol" w:cs="Segoe UI Symbol" w:hint="default"/>
        <w:dstrike w:val="false"/>
        <w:strike w:val="false"/>
        <w:vertAlign w:val="baseline"/>
        <w:position w:val="0"/>
        <w:sz w:val="20"/>
        <w:sz w:val="20"/>
        <w:i w:val="false"/>
        <w:u w:val="none" w:color="000000"/>
        <w:b w:val="false"/>
        <w:shd w:fill="auto" w:val="clear"/>
        <w:szCs w:val="20"/>
        <w:color w:val="000000"/>
      </w:rPr>
    </w:lvl>
    <w:lvl w:ilvl="5">
      <w:start w:val="1"/>
      <w:numFmt w:val="bullet"/>
      <w:lvlText w:val="▪"/>
      <w:lvlJc w:val="start"/>
      <w:pPr>
        <w:tabs>
          <w:tab w:val="num" w:pos="0"/>
        </w:tabs>
        <w:ind w:start="4320" w:hanging="0"/>
      </w:pPr>
      <w:rPr>
        <w:rFonts w:ascii="Segoe UI Symbol" w:hAnsi="Segoe UI Symbol" w:cs="Segoe UI Symbol" w:hint="default"/>
        <w:dstrike w:val="false"/>
        <w:strike w:val="false"/>
        <w:vertAlign w:val="baseline"/>
        <w:position w:val="0"/>
        <w:sz w:val="20"/>
        <w:sz w:val="20"/>
        <w:i w:val="false"/>
        <w:u w:val="none" w:color="000000"/>
        <w:b w:val="false"/>
        <w:shd w:fill="auto" w:val="clear"/>
        <w:szCs w:val="20"/>
        <w:color w:val="000000"/>
      </w:rPr>
    </w:lvl>
    <w:lvl w:ilvl="6">
      <w:start w:val="1"/>
      <w:numFmt w:val="bullet"/>
      <w:lvlText w:val="•"/>
      <w:lvlJc w:val="start"/>
      <w:pPr>
        <w:tabs>
          <w:tab w:val="num" w:pos="0"/>
        </w:tabs>
        <w:ind w:start="5040" w:hanging="0"/>
      </w:pPr>
      <w:rPr>
        <w:rFonts w:ascii="Arial" w:hAnsi="Arial" w:cs="Arial" w:hint="default"/>
        <w:dstrike w:val="false"/>
        <w:strike w:val="false"/>
        <w:vertAlign w:val="baseline"/>
        <w:position w:val="0"/>
        <w:sz w:val="20"/>
        <w:sz w:val="20"/>
        <w:i w:val="false"/>
        <w:u w:val="none" w:color="000000"/>
        <w:b w:val="false"/>
        <w:shd w:fill="auto" w:val="clear"/>
        <w:szCs w:val="20"/>
        <w:color w:val="000000"/>
      </w:rPr>
    </w:lvl>
    <w:lvl w:ilvl="7">
      <w:start w:val="1"/>
      <w:numFmt w:val="bullet"/>
      <w:lvlText w:val="o"/>
      <w:lvlJc w:val="start"/>
      <w:pPr>
        <w:tabs>
          <w:tab w:val="num" w:pos="0"/>
        </w:tabs>
        <w:ind w:start="5760" w:hanging="0"/>
      </w:pPr>
      <w:rPr>
        <w:rFonts w:ascii="Segoe UI Symbol" w:hAnsi="Segoe UI Symbol" w:cs="Segoe UI Symbol" w:hint="default"/>
        <w:dstrike w:val="false"/>
        <w:strike w:val="false"/>
        <w:vertAlign w:val="baseline"/>
        <w:position w:val="0"/>
        <w:sz w:val="20"/>
        <w:sz w:val="20"/>
        <w:i w:val="false"/>
        <w:u w:val="none" w:color="000000"/>
        <w:b w:val="false"/>
        <w:shd w:fill="auto" w:val="clear"/>
        <w:szCs w:val="20"/>
        <w:color w:val="000000"/>
      </w:rPr>
    </w:lvl>
    <w:lvl w:ilvl="8">
      <w:start w:val="1"/>
      <w:numFmt w:val="bullet"/>
      <w:lvlText w:val="▪"/>
      <w:lvlJc w:val="start"/>
      <w:pPr>
        <w:tabs>
          <w:tab w:val="num" w:pos="0"/>
        </w:tabs>
        <w:ind w:start="6480" w:hanging="0"/>
      </w:pPr>
      <w:rPr>
        <w:rFonts w:ascii="Segoe UI Symbol" w:hAnsi="Segoe UI Symbol" w:cs="Segoe UI Symbol" w:hint="default"/>
        <w:dstrike w:val="false"/>
        <w:strike w:val="false"/>
        <w:vertAlign w:val="baseline"/>
        <w:position w:val="0"/>
        <w:sz w:val="20"/>
        <w:sz w:val="20"/>
        <w:i w:val="false"/>
        <w:u w:val="none" w:color="000000"/>
        <w:b w:val="false"/>
        <w:shd w:fill="auto" w:val="clear"/>
        <w:szCs w:val="20"/>
        <w:color w:val="000000"/>
      </w:rPr>
    </w:lvl>
  </w:abstractNum>
  <w:abstractNum w:abstractNumId="2">
    <w:lvl w:ilvl="0">
      <w:start w:val="1"/>
      <w:numFmt w:val="lowerLetter"/>
      <w:lvlText w:val="%1."/>
      <w:lvlJc w:val="start"/>
      <w:pPr>
        <w:tabs>
          <w:tab w:val="num" w:pos="0"/>
        </w:tabs>
        <w:ind w:start="705" w:hanging="0"/>
      </w:pPr>
      <w:rPr>
        <w:dstrike w:val="false"/>
        <w:strike w:val="false"/>
        <w:vertAlign w:val="baseline"/>
        <w:position w:val="0"/>
        <w:sz w:val="24"/>
        <w:sz w:val="24"/>
        <w:i w:val="false"/>
        <w:u w:val="none" w:color="000000"/>
        <w:b w:val="false"/>
        <w:shd w:fill="auto" w:val="clear"/>
        <w:szCs w:val="24"/>
        <w:rFonts w:ascii="Calibri" w:hAnsi="Calibri" w:eastAsia="Calibri" w:cs="Calibri"/>
        <w:color w:val="000000"/>
      </w:rPr>
    </w:lvl>
    <w:lvl w:ilvl="1">
      <w:start w:val="1"/>
      <w:numFmt w:val="lowerLetter"/>
      <w:lvlText w:val="%2"/>
      <w:lvlJc w:val="start"/>
      <w:pPr>
        <w:tabs>
          <w:tab w:val="num" w:pos="0"/>
        </w:tabs>
        <w:ind w:start="1440" w:hanging="0"/>
      </w:pPr>
      <w:rPr>
        <w:dstrike w:val="false"/>
        <w:strike w:val="false"/>
        <w:vertAlign w:val="baseline"/>
        <w:position w:val="0"/>
        <w:sz w:val="24"/>
        <w:sz w:val="24"/>
        <w:i w:val="false"/>
        <w:u w:val="none" w:color="000000"/>
        <w:b w:val="false"/>
        <w:shd w:fill="auto" w:val="clear"/>
        <w:szCs w:val="24"/>
        <w:rFonts w:ascii="Calibri" w:hAnsi="Calibri" w:eastAsia="Calibri" w:cs="Calibri"/>
        <w:color w:val="000000"/>
      </w:rPr>
    </w:lvl>
    <w:lvl w:ilvl="2">
      <w:start w:val="1"/>
      <w:numFmt w:val="lowerRoman"/>
      <w:lvlText w:val="%3"/>
      <w:lvlJc w:val="start"/>
      <w:pPr>
        <w:tabs>
          <w:tab w:val="num" w:pos="0"/>
        </w:tabs>
        <w:ind w:start="2160" w:hanging="0"/>
      </w:pPr>
      <w:rPr>
        <w:dstrike w:val="false"/>
        <w:strike w:val="false"/>
        <w:vertAlign w:val="baseline"/>
        <w:position w:val="0"/>
        <w:sz w:val="24"/>
        <w:sz w:val="24"/>
        <w:i w:val="false"/>
        <w:u w:val="none" w:color="000000"/>
        <w:b w:val="false"/>
        <w:shd w:fill="auto" w:val="clear"/>
        <w:szCs w:val="24"/>
        <w:rFonts w:ascii="Calibri" w:hAnsi="Calibri" w:eastAsia="Calibri" w:cs="Calibri"/>
        <w:color w:val="000000"/>
      </w:rPr>
    </w:lvl>
    <w:lvl w:ilvl="3">
      <w:start w:val="1"/>
      <w:numFmt w:val="decimal"/>
      <w:lvlText w:val="%4"/>
      <w:lvlJc w:val="start"/>
      <w:pPr>
        <w:tabs>
          <w:tab w:val="num" w:pos="0"/>
        </w:tabs>
        <w:ind w:start="2880" w:hanging="0"/>
      </w:pPr>
      <w:rPr>
        <w:dstrike w:val="false"/>
        <w:strike w:val="false"/>
        <w:vertAlign w:val="baseline"/>
        <w:position w:val="0"/>
        <w:sz w:val="24"/>
        <w:sz w:val="24"/>
        <w:i w:val="false"/>
        <w:u w:val="none" w:color="000000"/>
        <w:b w:val="false"/>
        <w:shd w:fill="auto" w:val="clear"/>
        <w:szCs w:val="24"/>
        <w:rFonts w:ascii="Calibri" w:hAnsi="Calibri" w:eastAsia="Calibri" w:cs="Calibri"/>
        <w:color w:val="000000"/>
      </w:rPr>
    </w:lvl>
    <w:lvl w:ilvl="4">
      <w:start w:val="1"/>
      <w:numFmt w:val="lowerLetter"/>
      <w:lvlText w:val="%5"/>
      <w:lvlJc w:val="start"/>
      <w:pPr>
        <w:tabs>
          <w:tab w:val="num" w:pos="0"/>
        </w:tabs>
        <w:ind w:start="3600" w:hanging="0"/>
      </w:pPr>
      <w:rPr>
        <w:dstrike w:val="false"/>
        <w:strike w:val="false"/>
        <w:vertAlign w:val="baseline"/>
        <w:position w:val="0"/>
        <w:sz w:val="24"/>
        <w:sz w:val="24"/>
        <w:i w:val="false"/>
        <w:u w:val="none" w:color="000000"/>
        <w:b w:val="false"/>
        <w:shd w:fill="auto" w:val="clear"/>
        <w:szCs w:val="24"/>
        <w:rFonts w:ascii="Calibri" w:hAnsi="Calibri" w:eastAsia="Calibri" w:cs="Calibri"/>
        <w:color w:val="000000"/>
      </w:rPr>
    </w:lvl>
    <w:lvl w:ilvl="5">
      <w:start w:val="1"/>
      <w:numFmt w:val="lowerRoman"/>
      <w:lvlText w:val="%6"/>
      <w:lvlJc w:val="start"/>
      <w:pPr>
        <w:tabs>
          <w:tab w:val="num" w:pos="0"/>
        </w:tabs>
        <w:ind w:start="4320" w:hanging="0"/>
      </w:pPr>
      <w:rPr>
        <w:dstrike w:val="false"/>
        <w:strike w:val="false"/>
        <w:vertAlign w:val="baseline"/>
        <w:position w:val="0"/>
        <w:sz w:val="24"/>
        <w:sz w:val="24"/>
        <w:i w:val="false"/>
        <w:u w:val="none" w:color="000000"/>
        <w:b w:val="false"/>
        <w:shd w:fill="auto" w:val="clear"/>
        <w:szCs w:val="24"/>
        <w:rFonts w:ascii="Calibri" w:hAnsi="Calibri" w:eastAsia="Calibri" w:cs="Calibri"/>
        <w:color w:val="000000"/>
      </w:rPr>
    </w:lvl>
    <w:lvl w:ilvl="6">
      <w:start w:val="1"/>
      <w:numFmt w:val="decimal"/>
      <w:lvlText w:val="%7"/>
      <w:lvlJc w:val="start"/>
      <w:pPr>
        <w:tabs>
          <w:tab w:val="num" w:pos="0"/>
        </w:tabs>
        <w:ind w:start="5040" w:hanging="0"/>
      </w:pPr>
      <w:rPr>
        <w:dstrike w:val="false"/>
        <w:strike w:val="false"/>
        <w:vertAlign w:val="baseline"/>
        <w:position w:val="0"/>
        <w:sz w:val="24"/>
        <w:sz w:val="24"/>
        <w:i w:val="false"/>
        <w:u w:val="none" w:color="000000"/>
        <w:b w:val="false"/>
        <w:shd w:fill="auto" w:val="clear"/>
        <w:szCs w:val="24"/>
        <w:rFonts w:ascii="Calibri" w:hAnsi="Calibri" w:eastAsia="Calibri" w:cs="Calibri"/>
        <w:color w:val="000000"/>
      </w:rPr>
    </w:lvl>
    <w:lvl w:ilvl="7">
      <w:start w:val="1"/>
      <w:numFmt w:val="lowerLetter"/>
      <w:lvlText w:val="%8"/>
      <w:lvlJc w:val="start"/>
      <w:pPr>
        <w:tabs>
          <w:tab w:val="num" w:pos="0"/>
        </w:tabs>
        <w:ind w:start="5760" w:hanging="0"/>
      </w:pPr>
      <w:rPr>
        <w:dstrike w:val="false"/>
        <w:strike w:val="false"/>
        <w:vertAlign w:val="baseline"/>
        <w:position w:val="0"/>
        <w:sz w:val="24"/>
        <w:sz w:val="24"/>
        <w:i w:val="false"/>
        <w:u w:val="none" w:color="000000"/>
        <w:b w:val="false"/>
        <w:shd w:fill="auto" w:val="clear"/>
        <w:szCs w:val="24"/>
        <w:rFonts w:ascii="Calibri" w:hAnsi="Calibri" w:eastAsia="Calibri" w:cs="Calibri"/>
        <w:color w:val="000000"/>
      </w:rPr>
    </w:lvl>
    <w:lvl w:ilvl="8">
      <w:start w:val="1"/>
      <w:numFmt w:val="lowerRoman"/>
      <w:lvlText w:val="%9"/>
      <w:lvlJc w:val="start"/>
      <w:pPr>
        <w:tabs>
          <w:tab w:val="num" w:pos="0"/>
        </w:tabs>
        <w:ind w:start="6480" w:hanging="0"/>
      </w:pPr>
      <w:rPr>
        <w:dstrike w:val="false"/>
        <w:strike w:val="false"/>
        <w:vertAlign w:val="baseline"/>
        <w:position w:val="0"/>
        <w:sz w:val="24"/>
        <w:sz w:val="24"/>
        <w:i w:val="false"/>
        <w:u w:val="none" w:color="000000"/>
        <w:b w:val="false"/>
        <w:shd w:fill="auto" w:val="clear"/>
        <w:szCs w:val="24"/>
        <w:rFonts w:ascii="Calibri" w:hAnsi="Calibri" w:eastAsia="Calibri" w:cs="Calibri"/>
        <w:color w:val="000000"/>
      </w:rPr>
    </w:lvl>
  </w:abstractNum>
  <w:abstractNum w:abstractNumId="3">
    <w:lvl w:ilvl="0">
      <w:start w:val="1"/>
      <w:numFmt w:val="decimal"/>
      <w:lvlText w:val="%1."/>
      <w:lvlJc w:val="start"/>
      <w:pPr>
        <w:tabs>
          <w:tab w:val="num" w:pos="0"/>
        </w:tabs>
        <w:ind w:start="705" w:hanging="0"/>
      </w:pPr>
      <w:rPr>
        <w:dstrike w:val="false"/>
        <w:strike w:val="false"/>
        <w:vertAlign w:val="baseline"/>
        <w:position w:val="0"/>
        <w:sz w:val="24"/>
        <w:sz w:val="24"/>
        <w:i w:val="false"/>
        <w:u w:val="none" w:color="000000"/>
        <w:b w:val="false"/>
        <w:shd w:fill="auto" w:val="clear"/>
        <w:szCs w:val="24"/>
        <w:rFonts w:ascii="Calibri" w:hAnsi="Calibri" w:eastAsia="Calibri" w:cs="Calibri"/>
        <w:color w:val="000000"/>
      </w:rPr>
    </w:lvl>
    <w:lvl w:ilvl="1">
      <w:start w:val="1"/>
      <w:numFmt w:val="lowerLetter"/>
      <w:lvlText w:val="%2"/>
      <w:lvlJc w:val="start"/>
      <w:pPr>
        <w:tabs>
          <w:tab w:val="num" w:pos="0"/>
        </w:tabs>
        <w:ind w:start="1440" w:hanging="0"/>
      </w:pPr>
      <w:rPr>
        <w:dstrike w:val="false"/>
        <w:strike w:val="false"/>
        <w:vertAlign w:val="baseline"/>
        <w:position w:val="0"/>
        <w:sz w:val="24"/>
        <w:sz w:val="24"/>
        <w:i w:val="false"/>
        <w:u w:val="none" w:color="000000"/>
        <w:b w:val="false"/>
        <w:shd w:fill="auto" w:val="clear"/>
        <w:szCs w:val="24"/>
        <w:rFonts w:ascii="Calibri" w:hAnsi="Calibri" w:eastAsia="Calibri" w:cs="Calibri"/>
        <w:color w:val="000000"/>
      </w:rPr>
    </w:lvl>
    <w:lvl w:ilvl="2">
      <w:start w:val="1"/>
      <w:numFmt w:val="lowerRoman"/>
      <w:lvlText w:val="%3"/>
      <w:lvlJc w:val="start"/>
      <w:pPr>
        <w:tabs>
          <w:tab w:val="num" w:pos="0"/>
        </w:tabs>
        <w:ind w:start="2160" w:hanging="0"/>
      </w:pPr>
      <w:rPr>
        <w:dstrike w:val="false"/>
        <w:strike w:val="false"/>
        <w:vertAlign w:val="baseline"/>
        <w:position w:val="0"/>
        <w:sz w:val="24"/>
        <w:sz w:val="24"/>
        <w:i w:val="false"/>
        <w:u w:val="none" w:color="000000"/>
        <w:b w:val="false"/>
        <w:shd w:fill="auto" w:val="clear"/>
        <w:szCs w:val="24"/>
        <w:rFonts w:ascii="Calibri" w:hAnsi="Calibri" w:eastAsia="Calibri" w:cs="Calibri"/>
        <w:color w:val="000000"/>
      </w:rPr>
    </w:lvl>
    <w:lvl w:ilvl="3">
      <w:start w:val="1"/>
      <w:numFmt w:val="decimal"/>
      <w:lvlText w:val="%4"/>
      <w:lvlJc w:val="start"/>
      <w:pPr>
        <w:tabs>
          <w:tab w:val="num" w:pos="0"/>
        </w:tabs>
        <w:ind w:start="2880" w:hanging="0"/>
      </w:pPr>
      <w:rPr>
        <w:dstrike w:val="false"/>
        <w:strike w:val="false"/>
        <w:vertAlign w:val="baseline"/>
        <w:position w:val="0"/>
        <w:sz w:val="24"/>
        <w:sz w:val="24"/>
        <w:i w:val="false"/>
        <w:u w:val="none" w:color="000000"/>
        <w:b w:val="false"/>
        <w:shd w:fill="auto" w:val="clear"/>
        <w:szCs w:val="24"/>
        <w:rFonts w:ascii="Calibri" w:hAnsi="Calibri" w:eastAsia="Calibri" w:cs="Calibri"/>
        <w:color w:val="000000"/>
      </w:rPr>
    </w:lvl>
    <w:lvl w:ilvl="4">
      <w:start w:val="1"/>
      <w:numFmt w:val="lowerLetter"/>
      <w:lvlText w:val="%5"/>
      <w:lvlJc w:val="start"/>
      <w:pPr>
        <w:tabs>
          <w:tab w:val="num" w:pos="0"/>
        </w:tabs>
        <w:ind w:start="3600" w:hanging="0"/>
      </w:pPr>
      <w:rPr>
        <w:dstrike w:val="false"/>
        <w:strike w:val="false"/>
        <w:vertAlign w:val="baseline"/>
        <w:position w:val="0"/>
        <w:sz w:val="24"/>
        <w:sz w:val="24"/>
        <w:i w:val="false"/>
        <w:u w:val="none" w:color="000000"/>
        <w:b w:val="false"/>
        <w:shd w:fill="auto" w:val="clear"/>
        <w:szCs w:val="24"/>
        <w:rFonts w:ascii="Calibri" w:hAnsi="Calibri" w:eastAsia="Calibri" w:cs="Calibri"/>
        <w:color w:val="000000"/>
      </w:rPr>
    </w:lvl>
    <w:lvl w:ilvl="5">
      <w:start w:val="1"/>
      <w:numFmt w:val="lowerRoman"/>
      <w:lvlText w:val="%6"/>
      <w:lvlJc w:val="start"/>
      <w:pPr>
        <w:tabs>
          <w:tab w:val="num" w:pos="0"/>
        </w:tabs>
        <w:ind w:start="4320" w:hanging="0"/>
      </w:pPr>
      <w:rPr>
        <w:dstrike w:val="false"/>
        <w:strike w:val="false"/>
        <w:vertAlign w:val="baseline"/>
        <w:position w:val="0"/>
        <w:sz w:val="24"/>
        <w:sz w:val="24"/>
        <w:i w:val="false"/>
        <w:u w:val="none" w:color="000000"/>
        <w:b w:val="false"/>
        <w:shd w:fill="auto" w:val="clear"/>
        <w:szCs w:val="24"/>
        <w:rFonts w:ascii="Calibri" w:hAnsi="Calibri" w:eastAsia="Calibri" w:cs="Calibri"/>
        <w:color w:val="000000"/>
      </w:rPr>
    </w:lvl>
    <w:lvl w:ilvl="6">
      <w:start w:val="1"/>
      <w:numFmt w:val="decimal"/>
      <w:lvlText w:val="%7"/>
      <w:lvlJc w:val="start"/>
      <w:pPr>
        <w:tabs>
          <w:tab w:val="num" w:pos="0"/>
        </w:tabs>
        <w:ind w:start="5040" w:hanging="0"/>
      </w:pPr>
      <w:rPr>
        <w:dstrike w:val="false"/>
        <w:strike w:val="false"/>
        <w:vertAlign w:val="baseline"/>
        <w:position w:val="0"/>
        <w:sz w:val="24"/>
        <w:sz w:val="24"/>
        <w:i w:val="false"/>
        <w:u w:val="none" w:color="000000"/>
        <w:b w:val="false"/>
        <w:shd w:fill="auto" w:val="clear"/>
        <w:szCs w:val="24"/>
        <w:rFonts w:ascii="Calibri" w:hAnsi="Calibri" w:eastAsia="Calibri" w:cs="Calibri"/>
        <w:color w:val="000000"/>
      </w:rPr>
    </w:lvl>
    <w:lvl w:ilvl="7">
      <w:start w:val="1"/>
      <w:numFmt w:val="lowerLetter"/>
      <w:lvlText w:val="%8"/>
      <w:lvlJc w:val="start"/>
      <w:pPr>
        <w:tabs>
          <w:tab w:val="num" w:pos="0"/>
        </w:tabs>
        <w:ind w:start="5760" w:hanging="0"/>
      </w:pPr>
      <w:rPr>
        <w:dstrike w:val="false"/>
        <w:strike w:val="false"/>
        <w:vertAlign w:val="baseline"/>
        <w:position w:val="0"/>
        <w:sz w:val="24"/>
        <w:sz w:val="24"/>
        <w:i w:val="false"/>
        <w:u w:val="none" w:color="000000"/>
        <w:b w:val="false"/>
        <w:shd w:fill="auto" w:val="clear"/>
        <w:szCs w:val="24"/>
        <w:rFonts w:ascii="Calibri" w:hAnsi="Calibri" w:eastAsia="Calibri" w:cs="Calibri"/>
        <w:color w:val="000000"/>
      </w:rPr>
    </w:lvl>
    <w:lvl w:ilvl="8">
      <w:start w:val="1"/>
      <w:numFmt w:val="lowerRoman"/>
      <w:lvlText w:val="%9"/>
      <w:lvlJc w:val="start"/>
      <w:pPr>
        <w:tabs>
          <w:tab w:val="num" w:pos="0"/>
        </w:tabs>
        <w:ind w:start="6480" w:hanging="0"/>
      </w:pPr>
      <w:rPr>
        <w:dstrike w:val="false"/>
        <w:strike w:val="false"/>
        <w:vertAlign w:val="baseline"/>
        <w:position w:val="0"/>
        <w:sz w:val="24"/>
        <w:sz w:val="24"/>
        <w:i w:val="false"/>
        <w:u w:val="none" w:color="000000"/>
        <w:b w:val="false"/>
        <w:shd w:fill="auto" w:val="clear"/>
        <w:szCs w:val="24"/>
        <w:rFonts w:ascii="Calibri" w:hAnsi="Calibri" w:eastAsia="Calibri" w:cs="Calibri"/>
        <w:color w:val="000000"/>
      </w:rPr>
    </w:lvl>
  </w:abstractNum>
  <w:abstractNum w:abstractNumId="4">
    <w:lvl w:ilvl="0">
      <w:start w:val="1"/>
      <w:numFmt w:val="bullet"/>
      <w:lvlText w:val="•"/>
      <w:lvlJc w:val="start"/>
      <w:pPr>
        <w:tabs>
          <w:tab w:val="num" w:pos="0"/>
        </w:tabs>
        <w:ind w:start="705" w:hanging="0"/>
      </w:pPr>
      <w:rPr>
        <w:rFonts w:ascii="Arial" w:hAnsi="Arial" w:cs="Arial" w:hint="default"/>
        <w:dstrike w:val="false"/>
        <w:strike w:val="false"/>
        <w:vertAlign w:val="baseline"/>
        <w:position w:val="0"/>
        <w:sz w:val="20"/>
        <w:sz w:val="20"/>
        <w:i w:val="false"/>
        <w:u w:val="none" w:color="000000"/>
        <w:b w:val="false"/>
        <w:shd w:fill="auto" w:val="clear"/>
        <w:szCs w:val="20"/>
        <w:color w:val="000000"/>
      </w:rPr>
    </w:lvl>
    <w:lvl w:ilvl="1">
      <w:start w:val="1"/>
      <w:numFmt w:val="bullet"/>
      <w:lvlText w:val="o"/>
      <w:lvlJc w:val="start"/>
      <w:pPr>
        <w:tabs>
          <w:tab w:val="num" w:pos="0"/>
        </w:tabs>
        <w:ind w:start="1440" w:hanging="0"/>
      </w:pPr>
      <w:rPr>
        <w:rFonts w:ascii="Segoe UI Symbol" w:hAnsi="Segoe UI Symbol" w:cs="Segoe UI Symbol" w:hint="default"/>
        <w:dstrike w:val="false"/>
        <w:strike w:val="false"/>
        <w:vertAlign w:val="baseline"/>
        <w:position w:val="0"/>
        <w:sz w:val="20"/>
        <w:sz w:val="20"/>
        <w:i w:val="false"/>
        <w:u w:val="none" w:color="000000"/>
        <w:b w:val="false"/>
        <w:shd w:fill="auto" w:val="clear"/>
        <w:szCs w:val="20"/>
        <w:color w:val="000000"/>
      </w:rPr>
    </w:lvl>
    <w:lvl w:ilvl="2">
      <w:start w:val="1"/>
      <w:numFmt w:val="bullet"/>
      <w:lvlText w:val="▪"/>
      <w:lvlJc w:val="start"/>
      <w:pPr>
        <w:tabs>
          <w:tab w:val="num" w:pos="0"/>
        </w:tabs>
        <w:ind w:start="2160" w:hanging="0"/>
      </w:pPr>
      <w:rPr>
        <w:rFonts w:ascii="Segoe UI Symbol" w:hAnsi="Segoe UI Symbol" w:cs="Segoe UI Symbol" w:hint="default"/>
        <w:dstrike w:val="false"/>
        <w:strike w:val="false"/>
        <w:vertAlign w:val="baseline"/>
        <w:position w:val="0"/>
        <w:sz w:val="20"/>
        <w:sz w:val="20"/>
        <w:i w:val="false"/>
        <w:u w:val="none" w:color="000000"/>
        <w:b w:val="false"/>
        <w:shd w:fill="auto" w:val="clear"/>
        <w:szCs w:val="20"/>
        <w:color w:val="000000"/>
      </w:rPr>
    </w:lvl>
    <w:lvl w:ilvl="3">
      <w:start w:val="1"/>
      <w:numFmt w:val="bullet"/>
      <w:lvlText w:val="•"/>
      <w:lvlJc w:val="start"/>
      <w:pPr>
        <w:tabs>
          <w:tab w:val="num" w:pos="0"/>
        </w:tabs>
        <w:ind w:start="2880" w:hanging="0"/>
      </w:pPr>
      <w:rPr>
        <w:rFonts w:ascii="Arial" w:hAnsi="Arial" w:cs="Arial" w:hint="default"/>
        <w:dstrike w:val="false"/>
        <w:strike w:val="false"/>
        <w:vertAlign w:val="baseline"/>
        <w:position w:val="0"/>
        <w:sz w:val="20"/>
        <w:sz w:val="20"/>
        <w:i w:val="false"/>
        <w:u w:val="none" w:color="000000"/>
        <w:b w:val="false"/>
        <w:shd w:fill="auto" w:val="clear"/>
        <w:szCs w:val="20"/>
        <w:color w:val="000000"/>
      </w:rPr>
    </w:lvl>
    <w:lvl w:ilvl="4">
      <w:start w:val="1"/>
      <w:numFmt w:val="bullet"/>
      <w:lvlText w:val="o"/>
      <w:lvlJc w:val="start"/>
      <w:pPr>
        <w:tabs>
          <w:tab w:val="num" w:pos="0"/>
        </w:tabs>
        <w:ind w:start="3600" w:hanging="0"/>
      </w:pPr>
      <w:rPr>
        <w:rFonts w:ascii="Segoe UI Symbol" w:hAnsi="Segoe UI Symbol" w:cs="Segoe UI Symbol" w:hint="default"/>
        <w:dstrike w:val="false"/>
        <w:strike w:val="false"/>
        <w:vertAlign w:val="baseline"/>
        <w:position w:val="0"/>
        <w:sz w:val="20"/>
        <w:sz w:val="20"/>
        <w:i w:val="false"/>
        <w:u w:val="none" w:color="000000"/>
        <w:b w:val="false"/>
        <w:shd w:fill="auto" w:val="clear"/>
        <w:szCs w:val="20"/>
        <w:color w:val="000000"/>
      </w:rPr>
    </w:lvl>
    <w:lvl w:ilvl="5">
      <w:start w:val="1"/>
      <w:numFmt w:val="bullet"/>
      <w:lvlText w:val="▪"/>
      <w:lvlJc w:val="start"/>
      <w:pPr>
        <w:tabs>
          <w:tab w:val="num" w:pos="0"/>
        </w:tabs>
        <w:ind w:start="4320" w:hanging="0"/>
      </w:pPr>
      <w:rPr>
        <w:rFonts w:ascii="Segoe UI Symbol" w:hAnsi="Segoe UI Symbol" w:cs="Segoe UI Symbol" w:hint="default"/>
        <w:dstrike w:val="false"/>
        <w:strike w:val="false"/>
        <w:vertAlign w:val="baseline"/>
        <w:position w:val="0"/>
        <w:sz w:val="20"/>
        <w:sz w:val="20"/>
        <w:i w:val="false"/>
        <w:u w:val="none" w:color="000000"/>
        <w:b w:val="false"/>
        <w:shd w:fill="auto" w:val="clear"/>
        <w:szCs w:val="20"/>
        <w:color w:val="000000"/>
      </w:rPr>
    </w:lvl>
    <w:lvl w:ilvl="6">
      <w:start w:val="1"/>
      <w:numFmt w:val="bullet"/>
      <w:lvlText w:val="•"/>
      <w:lvlJc w:val="start"/>
      <w:pPr>
        <w:tabs>
          <w:tab w:val="num" w:pos="0"/>
        </w:tabs>
        <w:ind w:start="5040" w:hanging="0"/>
      </w:pPr>
      <w:rPr>
        <w:rFonts w:ascii="Arial" w:hAnsi="Arial" w:cs="Arial" w:hint="default"/>
        <w:dstrike w:val="false"/>
        <w:strike w:val="false"/>
        <w:vertAlign w:val="baseline"/>
        <w:position w:val="0"/>
        <w:sz w:val="20"/>
        <w:sz w:val="20"/>
        <w:i w:val="false"/>
        <w:u w:val="none" w:color="000000"/>
        <w:b w:val="false"/>
        <w:shd w:fill="auto" w:val="clear"/>
        <w:szCs w:val="20"/>
        <w:color w:val="000000"/>
      </w:rPr>
    </w:lvl>
    <w:lvl w:ilvl="7">
      <w:start w:val="1"/>
      <w:numFmt w:val="bullet"/>
      <w:lvlText w:val="o"/>
      <w:lvlJc w:val="start"/>
      <w:pPr>
        <w:tabs>
          <w:tab w:val="num" w:pos="0"/>
        </w:tabs>
        <w:ind w:start="5760" w:hanging="0"/>
      </w:pPr>
      <w:rPr>
        <w:rFonts w:ascii="Segoe UI Symbol" w:hAnsi="Segoe UI Symbol" w:cs="Segoe UI Symbol" w:hint="default"/>
        <w:dstrike w:val="false"/>
        <w:strike w:val="false"/>
        <w:vertAlign w:val="baseline"/>
        <w:position w:val="0"/>
        <w:sz w:val="20"/>
        <w:sz w:val="20"/>
        <w:i w:val="false"/>
        <w:u w:val="none" w:color="000000"/>
        <w:b w:val="false"/>
        <w:shd w:fill="auto" w:val="clear"/>
        <w:szCs w:val="20"/>
        <w:color w:val="000000"/>
      </w:rPr>
    </w:lvl>
    <w:lvl w:ilvl="8">
      <w:start w:val="1"/>
      <w:numFmt w:val="bullet"/>
      <w:lvlText w:val="▪"/>
      <w:lvlJc w:val="start"/>
      <w:pPr>
        <w:tabs>
          <w:tab w:val="num" w:pos="0"/>
        </w:tabs>
        <w:ind w:start="6480" w:hanging="0"/>
      </w:pPr>
      <w:rPr>
        <w:rFonts w:ascii="Segoe UI Symbol" w:hAnsi="Segoe UI Symbol" w:cs="Segoe UI Symbol" w:hint="default"/>
        <w:dstrike w:val="false"/>
        <w:strike w:val="false"/>
        <w:vertAlign w:val="baseline"/>
        <w:position w:val="0"/>
        <w:sz w:val="20"/>
        <w:sz w:val="20"/>
        <w:i w:val="false"/>
        <w:u w:val="none" w:color="000000"/>
        <w:b w:val="false"/>
        <w:shd w:fill="auto" w:val="clear"/>
        <w:szCs w:val="20"/>
        <w:color w:val="000000"/>
      </w:rPr>
    </w:lvl>
  </w:abstractNum>
  <w:abstractNum w:abstractNumId="5">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6">
    <w:lvl w:ilvl="0">
      <w:start w:val="1"/>
      <w:numFmt w:val="decimal"/>
      <w:lvlText w:val="%1."/>
      <w:lvlJc w:val="start"/>
      <w:pPr>
        <w:tabs>
          <w:tab w:val="num" w:pos="0"/>
        </w:tabs>
        <w:ind w:start="1080" w:hanging="360"/>
      </w:pPr>
      <w:rPr/>
    </w:lvl>
    <w:lvl w:ilvl="1">
      <w:start w:val="1"/>
      <w:numFmt w:val="lowerLetter"/>
      <w:lvlText w:val="%2."/>
      <w:lvlJc w:val="start"/>
      <w:pPr>
        <w:tabs>
          <w:tab w:val="num" w:pos="0"/>
        </w:tabs>
        <w:ind w:start="1800" w:hanging="360"/>
      </w:pPr>
      <w:rPr/>
    </w:lvl>
    <w:lvl w:ilvl="2">
      <w:start w:val="1"/>
      <w:numFmt w:val="lowerRoman"/>
      <w:lvlText w:val="%3."/>
      <w:lvlJc w:val="end"/>
      <w:pPr>
        <w:tabs>
          <w:tab w:val="num" w:pos="0"/>
        </w:tabs>
        <w:ind w:start="2520" w:hanging="180"/>
      </w:pPr>
      <w:rPr/>
    </w:lvl>
    <w:lvl w:ilvl="3">
      <w:start w:val="1"/>
      <w:numFmt w:val="decimal"/>
      <w:lvlText w:val="%4."/>
      <w:lvlJc w:val="start"/>
      <w:pPr>
        <w:tabs>
          <w:tab w:val="num" w:pos="0"/>
        </w:tabs>
        <w:ind w:start="3240" w:hanging="360"/>
      </w:pPr>
      <w:rPr/>
    </w:lvl>
    <w:lvl w:ilvl="4">
      <w:start w:val="1"/>
      <w:numFmt w:val="lowerLetter"/>
      <w:lvlText w:val="%5."/>
      <w:lvlJc w:val="start"/>
      <w:pPr>
        <w:tabs>
          <w:tab w:val="num" w:pos="0"/>
        </w:tabs>
        <w:ind w:start="3960" w:hanging="360"/>
      </w:pPr>
      <w:rPr/>
    </w:lvl>
    <w:lvl w:ilvl="5">
      <w:start w:val="1"/>
      <w:numFmt w:val="lowerRoman"/>
      <w:lvlText w:val="%6."/>
      <w:lvlJc w:val="end"/>
      <w:pPr>
        <w:tabs>
          <w:tab w:val="num" w:pos="0"/>
        </w:tabs>
        <w:ind w:start="4680" w:hanging="180"/>
      </w:pPr>
      <w:rPr/>
    </w:lvl>
    <w:lvl w:ilvl="6">
      <w:start w:val="1"/>
      <w:numFmt w:val="decimal"/>
      <w:lvlText w:val="%7."/>
      <w:lvlJc w:val="start"/>
      <w:pPr>
        <w:tabs>
          <w:tab w:val="num" w:pos="0"/>
        </w:tabs>
        <w:ind w:start="5400" w:hanging="360"/>
      </w:pPr>
      <w:rPr/>
    </w:lvl>
    <w:lvl w:ilvl="7">
      <w:start w:val="1"/>
      <w:numFmt w:val="lowerLetter"/>
      <w:lvlText w:val="%8."/>
      <w:lvlJc w:val="start"/>
      <w:pPr>
        <w:tabs>
          <w:tab w:val="num" w:pos="0"/>
        </w:tabs>
        <w:ind w:start="6120" w:hanging="360"/>
      </w:pPr>
      <w:rPr/>
    </w:lvl>
    <w:lvl w:ilvl="8">
      <w:start w:val="1"/>
      <w:numFmt w:val="lowerRoman"/>
      <w:lvlText w:val="%9."/>
      <w:lvlJc w:val="end"/>
      <w:pPr>
        <w:tabs>
          <w:tab w:val="num" w:pos="0"/>
        </w:tabs>
        <w:ind w:start="6840" w:hanging="180"/>
      </w:pPr>
      <w:rPr/>
    </w:lvl>
  </w:abstractNum>
  <w:abstractNum w:abstractNumId="7">
    <w:lvl w:ilvl="0">
      <w:start w:val="1"/>
      <w:numFmt w:val="decimal"/>
      <w:lvlText w:val="%1."/>
      <w:lvlJc w:val="start"/>
      <w:pPr>
        <w:tabs>
          <w:tab w:val="num" w:pos="0"/>
        </w:tabs>
        <w:ind w:start="1410" w:hanging="0"/>
      </w:pPr>
      <w:rPr>
        <w:dstrike w:val="false"/>
        <w:strike w:val="false"/>
        <w:vertAlign w:val="baseline"/>
        <w:position w:val="0"/>
        <w:sz w:val="24"/>
        <w:sz w:val="24"/>
        <w:i w:val="false"/>
        <w:u w:val="none" w:color="000000"/>
        <w:b w:val="false"/>
        <w:shd w:fill="auto" w:val="clear"/>
        <w:szCs w:val="24"/>
        <w:rFonts w:ascii="Calibri" w:hAnsi="Calibri" w:eastAsia="Calibri" w:cs="Calibri"/>
        <w:color w:val="000000"/>
      </w:rPr>
    </w:lvl>
    <w:lvl w:ilvl="1">
      <w:start w:val="1"/>
      <w:numFmt w:val="lowerLetter"/>
      <w:lvlText w:val="%2."/>
      <w:lvlJc w:val="start"/>
      <w:pPr>
        <w:tabs>
          <w:tab w:val="num" w:pos="0"/>
        </w:tabs>
        <w:ind w:start="2145" w:hanging="360"/>
      </w:pPr>
      <w:rPr/>
    </w:lvl>
    <w:lvl w:ilvl="2">
      <w:start w:val="1"/>
      <w:numFmt w:val="lowerRoman"/>
      <w:lvlText w:val="%3."/>
      <w:lvlJc w:val="end"/>
      <w:pPr>
        <w:tabs>
          <w:tab w:val="num" w:pos="0"/>
        </w:tabs>
        <w:ind w:start="2865" w:hanging="180"/>
      </w:pPr>
      <w:rPr/>
    </w:lvl>
    <w:lvl w:ilvl="3">
      <w:start w:val="1"/>
      <w:numFmt w:val="decimal"/>
      <w:lvlText w:val="%4."/>
      <w:lvlJc w:val="start"/>
      <w:pPr>
        <w:tabs>
          <w:tab w:val="num" w:pos="0"/>
        </w:tabs>
        <w:ind w:start="3585" w:hanging="360"/>
      </w:pPr>
      <w:rPr/>
    </w:lvl>
    <w:lvl w:ilvl="4">
      <w:start w:val="1"/>
      <w:numFmt w:val="lowerLetter"/>
      <w:lvlText w:val="%5."/>
      <w:lvlJc w:val="start"/>
      <w:pPr>
        <w:tabs>
          <w:tab w:val="num" w:pos="0"/>
        </w:tabs>
        <w:ind w:start="4305" w:hanging="360"/>
      </w:pPr>
      <w:rPr/>
    </w:lvl>
    <w:lvl w:ilvl="5">
      <w:start w:val="1"/>
      <w:numFmt w:val="lowerRoman"/>
      <w:lvlText w:val="%6."/>
      <w:lvlJc w:val="end"/>
      <w:pPr>
        <w:tabs>
          <w:tab w:val="num" w:pos="0"/>
        </w:tabs>
        <w:ind w:start="5025" w:hanging="180"/>
      </w:pPr>
      <w:rPr/>
    </w:lvl>
    <w:lvl w:ilvl="6">
      <w:start w:val="1"/>
      <w:numFmt w:val="decimal"/>
      <w:lvlText w:val="%7."/>
      <w:lvlJc w:val="start"/>
      <w:pPr>
        <w:tabs>
          <w:tab w:val="num" w:pos="0"/>
        </w:tabs>
        <w:ind w:start="5745" w:hanging="360"/>
      </w:pPr>
      <w:rPr/>
    </w:lvl>
    <w:lvl w:ilvl="7">
      <w:start w:val="1"/>
      <w:numFmt w:val="lowerLetter"/>
      <w:lvlText w:val="%8."/>
      <w:lvlJc w:val="start"/>
      <w:pPr>
        <w:tabs>
          <w:tab w:val="num" w:pos="0"/>
        </w:tabs>
        <w:ind w:start="6465" w:hanging="360"/>
      </w:pPr>
      <w:rPr/>
    </w:lvl>
    <w:lvl w:ilvl="8">
      <w:start w:val="1"/>
      <w:numFmt w:val="lowerRoman"/>
      <w:lvlText w:val="%9."/>
      <w:lvlJc w:val="end"/>
      <w:pPr>
        <w:tabs>
          <w:tab w:val="num" w:pos="0"/>
        </w:tabs>
        <w:ind w:start="7185" w:hanging="180"/>
      </w:pPr>
      <w:rPr/>
    </w:lvl>
  </w:abstractNum>
  <w:abstractNum w:abstractNumId="8">
    <w:lvl w:ilvl="0">
      <w:start w:val="1"/>
      <w:numFmt w:val="lowerLetter"/>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9">
    <w:lvl w:ilvl="0">
      <w:start w:val="1"/>
      <w:numFmt w:val="decimal"/>
      <w:lvlText w:val="%1."/>
      <w:lvlJc w:val="start"/>
      <w:pPr>
        <w:tabs>
          <w:tab w:val="num" w:pos="0"/>
        </w:tabs>
        <w:ind w:start="1440" w:hanging="360"/>
      </w:pPr>
      <w:rPr/>
    </w:lvl>
    <w:lvl w:ilvl="1">
      <w:start w:val="1"/>
      <w:numFmt w:val="lowerLetter"/>
      <w:lvlText w:val="%2."/>
      <w:lvlJc w:val="start"/>
      <w:pPr>
        <w:tabs>
          <w:tab w:val="num" w:pos="0"/>
        </w:tabs>
        <w:ind w:start="2160" w:hanging="360"/>
      </w:pPr>
      <w:rPr/>
    </w:lvl>
    <w:lvl w:ilvl="2">
      <w:start w:val="1"/>
      <w:numFmt w:val="lowerRoman"/>
      <w:lvlText w:val="%3."/>
      <w:lvlJc w:val="end"/>
      <w:pPr>
        <w:tabs>
          <w:tab w:val="num" w:pos="0"/>
        </w:tabs>
        <w:ind w:start="2880" w:hanging="180"/>
      </w:pPr>
      <w:rPr/>
    </w:lvl>
    <w:lvl w:ilvl="3">
      <w:start w:val="1"/>
      <w:numFmt w:val="decimal"/>
      <w:lvlText w:val="%4."/>
      <w:lvlJc w:val="start"/>
      <w:pPr>
        <w:tabs>
          <w:tab w:val="num" w:pos="0"/>
        </w:tabs>
        <w:ind w:start="3600" w:hanging="360"/>
      </w:pPr>
      <w:rPr/>
    </w:lvl>
    <w:lvl w:ilvl="4">
      <w:start w:val="1"/>
      <w:numFmt w:val="lowerLetter"/>
      <w:lvlText w:val="%5."/>
      <w:lvlJc w:val="start"/>
      <w:pPr>
        <w:tabs>
          <w:tab w:val="num" w:pos="0"/>
        </w:tabs>
        <w:ind w:start="4320" w:hanging="360"/>
      </w:pPr>
      <w:rPr/>
    </w:lvl>
    <w:lvl w:ilvl="5">
      <w:start w:val="1"/>
      <w:numFmt w:val="lowerRoman"/>
      <w:lvlText w:val="%6."/>
      <w:lvlJc w:val="end"/>
      <w:pPr>
        <w:tabs>
          <w:tab w:val="num" w:pos="0"/>
        </w:tabs>
        <w:ind w:start="5040" w:hanging="180"/>
      </w:pPr>
      <w:rPr/>
    </w:lvl>
    <w:lvl w:ilvl="6">
      <w:start w:val="1"/>
      <w:numFmt w:val="decimal"/>
      <w:lvlText w:val="%7."/>
      <w:lvlJc w:val="start"/>
      <w:pPr>
        <w:tabs>
          <w:tab w:val="num" w:pos="0"/>
        </w:tabs>
        <w:ind w:start="5760" w:hanging="360"/>
      </w:pPr>
      <w:rPr/>
    </w:lvl>
    <w:lvl w:ilvl="7">
      <w:start w:val="1"/>
      <w:numFmt w:val="lowerLetter"/>
      <w:lvlText w:val="%8."/>
      <w:lvlJc w:val="start"/>
      <w:pPr>
        <w:tabs>
          <w:tab w:val="num" w:pos="0"/>
        </w:tabs>
        <w:ind w:start="6480" w:hanging="360"/>
      </w:pPr>
      <w:rPr/>
    </w:lvl>
    <w:lvl w:ilvl="8">
      <w:start w:val="1"/>
      <w:numFmt w:val="lowerRoman"/>
      <w:lvlText w:val="%9."/>
      <w:lvlJc w:val="end"/>
      <w:pPr>
        <w:tabs>
          <w:tab w:val="num" w:pos="0"/>
        </w:tabs>
        <w:ind w:start="7200" w:hanging="180"/>
      </w:pPr>
      <w:rPr/>
    </w:lvl>
  </w:abstractNum>
  <w:abstractNum w:abstractNumId="10">
    <w:lvl w:ilvl="0">
      <w:start w:val="1"/>
      <w:numFmt w:val="decimal"/>
      <w:lvlText w:val="%1."/>
      <w:lvlJc w:val="start"/>
      <w:pPr>
        <w:tabs>
          <w:tab w:val="num" w:pos="0"/>
        </w:tabs>
        <w:ind w:start="1065" w:hanging="360"/>
      </w:pPr>
      <w:rPr/>
    </w:lvl>
    <w:lvl w:ilvl="1">
      <w:start w:val="1"/>
      <w:numFmt w:val="lowerLetter"/>
      <w:lvlText w:val="%2."/>
      <w:lvlJc w:val="start"/>
      <w:pPr>
        <w:tabs>
          <w:tab w:val="num" w:pos="0"/>
        </w:tabs>
        <w:ind w:start="1785" w:hanging="360"/>
      </w:pPr>
      <w:rPr/>
    </w:lvl>
    <w:lvl w:ilvl="2">
      <w:start w:val="1"/>
      <w:numFmt w:val="lowerRoman"/>
      <w:lvlText w:val="%3."/>
      <w:lvlJc w:val="end"/>
      <w:pPr>
        <w:tabs>
          <w:tab w:val="num" w:pos="0"/>
        </w:tabs>
        <w:ind w:start="2505" w:hanging="180"/>
      </w:pPr>
      <w:rPr/>
    </w:lvl>
    <w:lvl w:ilvl="3">
      <w:start w:val="1"/>
      <w:numFmt w:val="decimal"/>
      <w:lvlText w:val="%4."/>
      <w:lvlJc w:val="start"/>
      <w:pPr>
        <w:tabs>
          <w:tab w:val="num" w:pos="0"/>
        </w:tabs>
        <w:ind w:start="3225" w:hanging="360"/>
      </w:pPr>
      <w:rPr/>
    </w:lvl>
    <w:lvl w:ilvl="4">
      <w:start w:val="1"/>
      <w:numFmt w:val="lowerLetter"/>
      <w:lvlText w:val="%5."/>
      <w:lvlJc w:val="start"/>
      <w:pPr>
        <w:tabs>
          <w:tab w:val="num" w:pos="0"/>
        </w:tabs>
        <w:ind w:start="3945" w:hanging="360"/>
      </w:pPr>
      <w:rPr/>
    </w:lvl>
    <w:lvl w:ilvl="5">
      <w:start w:val="1"/>
      <w:numFmt w:val="lowerRoman"/>
      <w:lvlText w:val="%6."/>
      <w:lvlJc w:val="end"/>
      <w:pPr>
        <w:tabs>
          <w:tab w:val="num" w:pos="0"/>
        </w:tabs>
        <w:ind w:start="4665" w:hanging="180"/>
      </w:pPr>
      <w:rPr/>
    </w:lvl>
    <w:lvl w:ilvl="6">
      <w:start w:val="1"/>
      <w:numFmt w:val="decimal"/>
      <w:lvlText w:val="%7."/>
      <w:lvlJc w:val="start"/>
      <w:pPr>
        <w:tabs>
          <w:tab w:val="num" w:pos="0"/>
        </w:tabs>
        <w:ind w:start="5385" w:hanging="360"/>
      </w:pPr>
      <w:rPr/>
    </w:lvl>
    <w:lvl w:ilvl="7">
      <w:start w:val="1"/>
      <w:numFmt w:val="lowerLetter"/>
      <w:lvlText w:val="%8."/>
      <w:lvlJc w:val="start"/>
      <w:pPr>
        <w:tabs>
          <w:tab w:val="num" w:pos="0"/>
        </w:tabs>
        <w:ind w:start="6105" w:hanging="360"/>
      </w:pPr>
      <w:rPr/>
    </w:lvl>
    <w:lvl w:ilvl="8">
      <w:start w:val="1"/>
      <w:numFmt w:val="lowerRoman"/>
      <w:lvlText w:val="%9."/>
      <w:lvlJc w:val="end"/>
      <w:pPr>
        <w:tabs>
          <w:tab w:val="num" w:pos="0"/>
        </w:tabs>
        <w:ind w:start="6825" w:hanging="180"/>
      </w:pPr>
      <w:rPr/>
    </w:lvl>
  </w:abstractNum>
  <w:abstractNum w:abstractNumId="11">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61"/>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kern w:val="2"/>
        <w:sz w:val="24"/>
        <w:szCs w:val="24"/>
        <w:lang w:val="it-IT" w:eastAsia="it-IT"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0" w:before="0" w:after="288"/>
      <w:ind w:hanging="10" w:start="10"/>
      <w:jc w:val="start"/>
    </w:pPr>
    <w:rPr>
      <w:rFonts w:ascii="Calibri" w:hAnsi="Calibri" w:eastAsia="Calibri" w:cs="Calibri"/>
      <w:color w:val="000000"/>
      <w:kern w:val="2"/>
      <w:sz w:val="20"/>
      <w:szCs w:val="24"/>
      <w:lang w:bidi="it-IT" w:val="it-IT" w:eastAsia="it-IT"/>
    </w:rPr>
  </w:style>
  <w:style w:type="paragraph" w:styleId="Heading1">
    <w:name w:val="heading 1"/>
    <w:next w:val="Normal"/>
    <w:link w:val="Titolo1Carattere"/>
    <w:uiPriority w:val="9"/>
    <w:qFormat/>
    <w:pPr>
      <w:keepNext w:val="true"/>
      <w:keepLines/>
      <w:widowControl/>
      <w:bidi w:val="0"/>
      <w:spacing w:lineRule="auto" w:line="262" w:before="0" w:after="278"/>
      <w:ind w:hanging="10" w:start="10"/>
      <w:jc w:val="center"/>
      <w:outlineLvl w:val="0"/>
    </w:pPr>
    <w:rPr>
      <w:rFonts w:ascii="Calibri" w:hAnsi="Calibri" w:eastAsia="Calibri" w:cs="Calibri"/>
      <w:b/>
      <w:color w:val="000000"/>
      <w:kern w:val="2"/>
      <w:sz w:val="20"/>
      <w:szCs w:val="24"/>
      <w:lang w:val="it-IT" w:eastAsia="it-IT" w:bidi="ar-SA"/>
    </w:rPr>
  </w:style>
  <w:style w:type="character" w:styleId="DefaultParagraphFont" w:default="1">
    <w:name w:val="Default Paragraph Font"/>
    <w:uiPriority w:val="1"/>
    <w:semiHidden/>
    <w:unhideWhenUsed/>
    <w:qFormat/>
    <w:rPr/>
  </w:style>
  <w:style w:type="character" w:styleId="Titolo1Carattere" w:customStyle="1">
    <w:name w:val="Titolo 1 Carattere"/>
    <w:qFormat/>
    <w:rPr>
      <w:rFonts w:ascii="Calibri" w:hAnsi="Calibri" w:eastAsia="Calibri" w:cs="Calibri"/>
      <w:b/>
      <w:color w:val="000000"/>
      <w:sz w:val="20"/>
    </w:rPr>
  </w:style>
  <w:style w:type="character" w:styleId="Hyperlink">
    <w:name w:val="Hyperlink"/>
    <w:basedOn w:val="DefaultParagraphFont"/>
    <w:uiPriority w:val="99"/>
    <w:unhideWhenUsed/>
    <w:rsid w:val="0024370e"/>
    <w:rPr>
      <w:color w:themeColor="hyperlink" w:val="0563C1"/>
      <w:u w:val="single"/>
    </w:rPr>
  </w:style>
  <w:style w:type="character" w:styleId="UnresolvedMention">
    <w:name w:val="Unresolved Mention"/>
    <w:basedOn w:val="DefaultParagraphFont"/>
    <w:uiPriority w:val="99"/>
    <w:semiHidden/>
    <w:unhideWhenUsed/>
    <w:qFormat/>
    <w:rsid w:val="0024370e"/>
    <w:rPr>
      <w:color w:val="605E5C"/>
      <w:shd w:fill="E1DFDD" w:val="clear"/>
    </w:rPr>
  </w:style>
  <w:style w:type="character" w:styleId="FollowedHyperlink">
    <w:name w:val="FollowedHyperlink"/>
    <w:basedOn w:val="DefaultParagraphFont"/>
    <w:uiPriority w:val="99"/>
    <w:semiHidden/>
    <w:unhideWhenUsed/>
    <w:rsid w:val="0024370e"/>
    <w:rPr>
      <w:color w:themeColor="followedHyperlink" w:val="954F72"/>
      <w:u w:val="single"/>
    </w:rPr>
  </w:style>
  <w:style w:type="paragraph" w:styleId="Titolo">
    <w:name w:val="Tito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ListParagraph">
    <w:name w:val="List Paragraph"/>
    <w:basedOn w:val="Normal"/>
    <w:uiPriority w:val="34"/>
    <w:qFormat/>
    <w:rsid w:val="00ac318a"/>
    <w:pPr>
      <w:spacing w:before="0" w:after="288"/>
      <w:ind w:start="720"/>
      <w:contextualSpacing/>
    </w:pPr>
    <w:rPr/>
  </w:style>
  <w:style w:type="numbering" w:styleId="Nessunelenco" w:default="1">
    <w:name w:val="Nessun elenco"/>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www.mim.gov.it/documents/20182/0/Ipotesi+CCNI+mobilita_triennio+25_28_29+gennaio+2025-signed.pdf/cbbafee5-73f4-fec7-df06-4fca8cbec362?t=1741015409375" TargetMode="External"/><Relationship Id="rId4" Type="http://schemas.openxmlformats.org/officeDocument/2006/relationships/hyperlink" Target="https://www.mim.gov.it/documents/20182/0/Ipotesi+CCNI+mobilita_triennio+25_28_29+gennaio+2025-signed.pdf/cbbafee5-73f4-fec7-df06-4fca8cbec362?t=1741015409375" TargetMode="External"/><Relationship Id="rId5" Type="http://schemas.openxmlformats.org/officeDocument/2006/relationships/hyperlink" Target="https://www.mim.gov.it/documents/20182/0/Ipotesi+CCNI+mobilita_triennio+25_28_29+gennaio+2025-signed.pdf/cbbafee5-73f4-fec7-df06-4fca8cbec362?t=1741015409375" TargetMode="External"/><Relationship Id="rId6" Type="http://schemas.openxmlformats.org/officeDocument/2006/relationships/hyperlink" Target="https://uilscuola.it/wp-content/uploads/2026/03/Ordinanza-Ministeriale-Dcoenti-educatori-e-ATA.pdf" TargetMode="External"/><Relationship Id="rId7" Type="http://schemas.openxmlformats.org/officeDocument/2006/relationships/hyperlink" Target="https://www.mim.gov.it/documents/20182/0/m_pi.AOOGABMI.Registro+Decreti%28R%29.0000044.12-03-2026.pdf/80df8511-d35e-d2df-cc77-475a1ea4bd15?t=1773420284500" TargetMode="External"/><Relationship Id="rId8" Type="http://schemas.openxmlformats.org/officeDocument/2006/relationships/hyperlink" Target="https://uilscuola.it/wp-content/uploads/2026/03/Ordinanza-Ministeriale-Dcoenti-educatori-e-ATA.pdf" TargetMode="External"/><Relationship Id="rId9" Type="http://schemas.openxmlformats.org/officeDocument/2006/relationships/hyperlink" Target="https://www.mim.gov.it/documents/20182/0/m_pi.AOOGABMI.Registro+Decreti%28R%29.0000044.12-03-2026.pdf/80df8511-d35e-d2df-cc77-475a1ea4bd15?t=1773420284500" TargetMode="External"/><Relationship Id="rId10" Type="http://schemas.openxmlformats.org/officeDocument/2006/relationships/hyperlink" Target="https://www.mim.gov.it/documents/20182/0/m_pi.AOOGABMI.Registro+Decreti-R-.0000037.28-02-2025.pdf/9a742039-d88b-d080-2cb8-e3fd614c8151?t=1741015737200" TargetMode="External"/><Relationship Id="rId11" Type="http://schemas.openxmlformats.org/officeDocument/2006/relationships/hyperlink" Target="https://www.mim.gov.it/documents/20182/0/Ipotesi+CCNI+mobilita_triennio+25_28_29+gennaio+2025-signed.pdf/cbbafee5-73f4-fec7-df06-4fca8cbec362?t=1741015409375" TargetMode="External"/><Relationship Id="rId12" Type="http://schemas.openxmlformats.org/officeDocument/2006/relationships/hyperlink" Target="https://www.mim.gov.it/documents/20182/0/Ipotesi+CCNI+mobilita_triennio+25_28_29+gennaio+2025-signed.pdf/cbbafee5-73f4-fec7-df06-4fca8cbec362?t=1741015409375" TargetMode="External"/><Relationship Id="rId13" Type="http://schemas.openxmlformats.org/officeDocument/2006/relationships/hyperlink" Target="https://www.mim.gov.it/documents/20182/0/Ipotesi+CCNI+mobilita_triennio+25_28_29+gennaio+2025-signed.pdf/cbbafee5-73f4-fec7-df06-4fca8cbec362?t=1741015409375" TargetMode="External"/><Relationship Id="rId14" Type="http://schemas.openxmlformats.org/officeDocument/2006/relationships/hyperlink" Target="https://www.mim.gov.it/documents/20182/0/Ipotesi+CCNI+mobilita_triennio+25_28_29+gennaio+2025-signed.pdf/cbbafee5-73f4-fec7-df06-4fca8cbec362?t=1741015409375" TargetMode="External"/><Relationship Id="rId15" Type="http://schemas.openxmlformats.org/officeDocument/2006/relationships/hyperlink" Target="https://www.mim.gov.it/documents/20182/0/Ipotesi+CCNI+mobilita_triennio+25_28_29+gennaio+2025-signed.pdf/cbbafee5-73f4-fec7-df06-4fca8cbec362?t=1741015409375" TargetMode="External"/><Relationship Id="rId16" Type="http://schemas.openxmlformats.org/officeDocument/2006/relationships/hyperlink" Target="https://www.mim.gov.it/documents/20182/0/Ipotesi+CCNI+mobilita_triennio+25_28_29+gennaio+2025-signed.pdf/cbbafee5-73f4-fec7-df06-4fca8cbec362?t=1741015409375" TargetMode="External"/><Relationship Id="rId17" Type="http://schemas.openxmlformats.org/officeDocument/2006/relationships/hyperlink" Target="https://www.mim.gov.it/documents/20182/0/Ipotesi+CCNI+mobilita_triennio+25_28_29+gennaio+2025-signed.pdf/cbbafee5-73f4-fec7-df06-4fca8cbec362?t=1741015409375" TargetMode="External"/><Relationship Id="rId18" Type="http://schemas.openxmlformats.org/officeDocument/2006/relationships/numbering" Target="numbering.xml"/><Relationship Id="rId19" Type="http://schemas.openxmlformats.org/officeDocument/2006/relationships/fontTable" Target="fontTable.xml"/><Relationship Id="rId20" Type="http://schemas.openxmlformats.org/officeDocument/2006/relationships/settings" Target="settings.xml"/><Relationship Id="rId2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41</TotalTime>
  <Application>LibreOffice/25.8.3.2$Windows_X86_64 LibreOffice_project/8ca8d55c161d602844f5428fa4b58097424e324e</Application>
  <AppVersion>15.0000</AppVersion>
  <Pages>5</Pages>
  <Words>1982</Words>
  <Characters>11223</Characters>
  <CharactersWithSpaces>13104</CharactersWithSpaces>
  <Paragraphs>107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2026-03-17T11:22:00Z</dcterms:created>
  <dc:creator>Microsoft Office User</dc:creator>
  <dc:description/>
  <dc:language>it-IT</dc:language>
  <cp:lastModifiedBy/>
  <cp:lastPrinted>2026-03-18T09:09:14Z</cp:lastPrinted>
  <dcterms:modified xsi:type="dcterms:W3CDTF">2026-03-18T09:11:19Z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file>