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C1CFF" w:rsidRPr="00C21500" w:rsidRDefault="00921858">
      <w:pPr>
        <w:keepNext/>
        <w:spacing w:after="3231" w:line="259" w:lineRule="auto"/>
        <w:ind w:left="0" w:firstLine="0"/>
        <w:jc w:val="center"/>
        <w:rPr>
          <w:rFonts w:asciiTheme="minorHAnsi" w:hAnsiTheme="minorHAnsi" w:cstheme="minorHAnsi"/>
          <w:color w:val="000000" w:themeColor="text1"/>
          <w:sz w:val="20"/>
          <w:szCs w:val="20"/>
        </w:rPr>
      </w:pPr>
      <w:r w:rsidRPr="00C21500">
        <w:rPr>
          <w:rFonts w:asciiTheme="minorHAnsi" w:hAnsiTheme="minorHAnsi" w:cstheme="minorHAnsi"/>
          <w:noProof/>
          <w:color w:val="000000" w:themeColor="text1"/>
          <w:sz w:val="20"/>
          <w:szCs w:val="20"/>
        </w:rPr>
        <w:drawing>
          <wp:anchor distT="0" distB="0" distL="0" distR="0" simplePos="0" relativeHeight="251659264" behindDoc="0" locked="0" layoutInCell="0" allowOverlap="1" wp14:anchorId="39F5E334" wp14:editId="2ED28F9D">
            <wp:simplePos x="0" y="0"/>
            <wp:positionH relativeFrom="column">
              <wp:posOffset>-18372</wp:posOffset>
            </wp:positionH>
            <wp:positionV relativeFrom="paragraph">
              <wp:posOffset>-202857</wp:posOffset>
            </wp:positionV>
            <wp:extent cx="6434877" cy="2103597"/>
            <wp:effectExtent l="0" t="0" r="4445" b="5080"/>
            <wp:wrapNone/>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7"/>
                    <a:stretch>
                      <a:fillRect/>
                    </a:stretch>
                  </pic:blipFill>
                  <pic:spPr bwMode="auto">
                    <a:xfrm>
                      <a:off x="0" y="0"/>
                      <a:ext cx="6470969" cy="2115396"/>
                    </a:xfrm>
                    <a:prstGeom prst="rect">
                      <a:avLst/>
                    </a:prstGeom>
                  </pic:spPr>
                </pic:pic>
              </a:graphicData>
            </a:graphic>
            <wp14:sizeRelH relativeFrom="margin">
              <wp14:pctWidth>0</wp14:pctWidth>
            </wp14:sizeRelH>
          </wp:anchor>
        </w:drawing>
      </w:r>
      <w:r w:rsidRPr="00C21500">
        <w:rPr>
          <w:rFonts w:asciiTheme="minorHAnsi" w:eastAsia="Calibri" w:hAnsiTheme="minorHAnsi" w:cstheme="minorHAnsi"/>
          <w:color w:val="000000" w:themeColor="text1"/>
          <w:sz w:val="20"/>
          <w:szCs w:val="20"/>
        </w:rPr>
        <w:t xml:space="preserve"> </w:t>
      </w:r>
    </w:p>
    <w:p w:rsidR="00C33A1B" w:rsidRPr="00C21500" w:rsidRDefault="00000000">
      <w:pPr>
        <w:keepNext/>
        <w:spacing w:before="40" w:after="40"/>
        <w:jc w:val="center"/>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CRITERI GENERALI PER L'ASSEGNAZIONE DEI DOCENTI</w:t>
      </w:r>
      <w:r w:rsidRPr="00C21500">
        <w:rPr>
          <w:rFonts w:asciiTheme="minorHAnsi" w:hAnsiTheme="minorHAnsi" w:cstheme="minorHAnsi"/>
          <w:b/>
          <w:color w:val="000000" w:themeColor="text1"/>
          <w:sz w:val="20"/>
          <w:szCs w:val="20"/>
        </w:rPr>
        <w:br/>
        <w:t>ALLE CLASSI E ALLE SEZIONI</w:t>
      </w:r>
    </w:p>
    <w:p w:rsidR="00C33A1B" w:rsidRPr="00C21500" w:rsidRDefault="00000000">
      <w:pPr>
        <w:keepNext/>
        <w:spacing w:after="160"/>
        <w:jc w:val="center"/>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Anno scolastico 2026/2027</w:t>
      </w:r>
    </w:p>
    <w:p w:rsidR="00C33A1B" w:rsidRPr="00C21500" w:rsidRDefault="00000000">
      <w:pPr>
        <w:keepNext/>
        <w:spacing w:after="140"/>
        <w:ind w:left="198" w:right="198"/>
        <w:rPr>
          <w:rFonts w:asciiTheme="minorHAnsi" w:hAnsiTheme="minorHAnsi" w:cstheme="minorHAnsi"/>
          <w:color w:val="000000" w:themeColor="text1"/>
          <w:sz w:val="20"/>
          <w:szCs w:val="20"/>
        </w:rPr>
      </w:pPr>
      <w:r w:rsidRPr="00C21500">
        <w:rPr>
          <w:rFonts w:asciiTheme="minorHAnsi" w:hAnsiTheme="minorHAnsi" w:cstheme="minorHAnsi"/>
          <w:i/>
          <w:color w:val="000000" w:themeColor="text1"/>
          <w:sz w:val="20"/>
          <w:szCs w:val="20"/>
        </w:rPr>
        <w:t>Quadro normativo essenziale: artt. 7, 10 e 396 del D.Lgs. 297/1994; art. 25 del D.Lgs. 165/2001; art. 11 del CCNL Comparto Istruzione e Ricerca 2022-2024; artt. 41 e 42 del CCNL 2019-2021; legge 104/1992 e D.Lgs. 66/2017; O.M. 27/2026; D.M. 221/2025.</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1. Competenza della Dirigente scolastica e natura dei criteri</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La Dirigente scolastica dispone l'assegnazione dei docenti alle sezioni, alle classi, agli insegnamenti e alle attività, nell'ambito dell'organico dell'autonomia e nel rispetto delle tipologie di posto, dei titoli di accesso, delle abilitazioni e delle classi di concorso. A tal fine tiene conto dei criteri generali indicati dal Consiglio d'istituto e delle proposte formulate dal Collegio dei docenti.</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I criteri costituiscono elementi concorrenti di una valutazione complessiva e non meccanica; non determinano graduatorie, precedenze automatiche o diritti soggettivi all'assegnazione a una determinata classe o sezione. Quando specifiche e documentate esigenze educativo-didattiche, inclusive, organizzative o di servizio rendano necessario non applicare uno o più criteri, la Dirigente scolastica adotta le proprie determinazioni con adeguata motivazione, nel rispetto della riservatezza delle persone interessate.</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Il presente documento disciplina esclusivamente l'assegnazione alle classi, alle sezioni, agli insegnamenti e alle attività. I criteri relativi all'assegnazione alle sedi di servizio e ai plessi sono definiti separatamente, previo confronto con la parte sindacale ai sensi del vigente CCNL.</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2. Vincoli preliminari</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Le assegnazioni sono disposte nel rispetto dei vincoli inderogabili derivanti dalla normativa e dalla disciplina contrattuale, della consistenza dell'organico, della tipologia di posto e della classe di concorso, dell'orario di funzionamento, dei rapporti di lavoro a tempo parziale, delle prescrizioni formalmente adottate dalle autorità competenti e delle ulteriori esigenze necessarie ad assicurare la regolare erogazione del servizio.</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3. Continuità educativa e didattica</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La continuità educativa e didattica costituisce criterio preferenziale, ma non automatico, ed è salvaguardata quando risulti coerente con l'interesse degli alunni, con la qualità dell'azione educativa e con la funzionalità complessiva dell'organizzazione. Essa può essere superata in presenza di variazioni dell'organico, modifica o soppressione di classi o sezioni, esigenze di riequilibrio dei team, specifici bisogni di inclusione, documentate criticità educativo-relazionali o altre motivate esigenze di servizio.</w:t>
      </w:r>
    </w:p>
    <w:p w:rsidR="00C33A1B" w:rsidRPr="00C21500" w:rsidRDefault="00000000">
      <w:pPr>
        <w:numPr>
          <w:ilvl w:val="0"/>
          <w:numId w:val="1"/>
        </w:numPr>
        <w:spacing w:after="40" w:line="250" w:lineRule="auto"/>
        <w:ind w:left="425" w:hanging="198"/>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Nella scuola dell'infanzia è valorizzata la permanenza nella medesima sezione nel corso del triennio.</w:t>
      </w:r>
    </w:p>
    <w:p w:rsidR="00C33A1B" w:rsidRPr="00C21500" w:rsidRDefault="00000000">
      <w:pPr>
        <w:numPr>
          <w:ilvl w:val="0"/>
          <w:numId w:val="1"/>
        </w:numPr>
        <w:spacing w:after="40" w:line="250" w:lineRule="auto"/>
        <w:ind w:left="425" w:hanging="198"/>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Nella scuola primaria è valorizzata la continuità sulla classe e la stabilità del team docente, ferma restando la possibilità di rimodulare l'attribuzione degli insegnamenti e delle attività.</w:t>
      </w:r>
    </w:p>
    <w:p w:rsidR="00C33A1B" w:rsidRPr="00C21500" w:rsidRDefault="00000000">
      <w:pPr>
        <w:numPr>
          <w:ilvl w:val="0"/>
          <w:numId w:val="1"/>
        </w:numPr>
        <w:spacing w:after="40" w:line="250" w:lineRule="auto"/>
        <w:ind w:left="425" w:hanging="198"/>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Nella scuola secondaria di primo grado è valorizzata la continuità dell'insegnamento sulla classe nel corso del triennio, compatibilmente con la composizione delle cattedre e dell'orario.</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4. Equilibrio e funzionalità dei gruppi di lavoro</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Nella composizione dei consigli di classe, dei team e dei gruppi di docenti contitolari sono perseguiti equilibrio, complementarità delle competenze, stabilità e funzionalità relazionale. Nei limiti consentiti dall'organico e dai tempi delle nomine, si evita la concentrazione di situazioni di instabilità nelle medesime classi e si presta particolare attenzione ai gruppi che abbiano subito una significativa rotazione dei docenti o che presentino specifiche complessità educative e inclusive.</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lastRenderedPageBreak/>
        <w:t>5. Competenze professionali</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La Dirigente scolastica valuta le competenze disciplinari, informatiche, linguistiche, psicopedagogiche, metodologico-didattiche, organizzativo-relazionali, di orientamento, ricerca, documentazione e valutazione previste dall'art. 42 del CCNL 2019-2021, nonché le esperienze professionali effettivamente maturate. L'assegnazione è finalizzata alla costituzione di gruppi di lavoro funzionali ed efficaci e alla realizzazione delle priorità del PTOF, del Piano di miglioramento e del curricolo d'Istituto.</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6. Assegnazione dei docenti di sostegno</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I docenti di sostegno sono assegnati alla classe o alla sezione, della quale assumono la contitolarità, e concorrono collegialmente alla progettazione, realizzazione e valutazione del percorso educativo di tutti gli alunni. Nell'assegnazione si tiene conto della continuità, dei bisogni educativi risultanti dai PEI, delle competenze professionali, della funzionalità del gruppo docente e dell'equilibrata distribuzione delle risorse di sostegno.</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Restano ferme le specifiche procedure annuali previste per la tutela della continuità dei docenti a tempo determinato su posto di sostegno. Tali procedure operano nei limiti e alle condizioni stabiliti dalla normativa vigente e non determinano un diritto automatico alla nomina o all'assegnazione.</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7. Insegnamenti e attività che richiedono specifici requisiti</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Gli insegnamenti per i quali l'ordinamento richiede specifici titoli o requisiti sono attribuiti a docenti che ne siano in possesso. Nella scuola primaria l'insegnamento della lingua inglese è affidato ai docenti in possesso del titolo o dell'idoneità previsti. L'informatica, le competenze digitali e, nella scuola dell'infanzia, le attività connesse allo sviluppo linguistico e digitale sono organizzate in coerenza con le Indicazioni nazionali applicabili, con il curricolo d'Istituto e con il PTOF.</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8. Organico dell'autonomia e attività di potenziamento</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Tutti i docenti dell'organico dell'autonomia concorrono unitariamente alla realizzazione del PTOF attraverso attività di insegnamento, sostegno, potenziamento, progettazione, ricerca e coordinamento. L'attribuzione delle attività tiene conto delle competenze professionali e delle priorità del PTOF e del Piano di miglioramento, nel rispetto del grado di istruzione, della tipologia di posto e della classe di concorso di appartenenza, salvo le utilizzazioni espressamente consentite da specifiche disposizioni normative.</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9. Preferenze e manifestazioni di disponibilità</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I docenti possono presentare, entro il termine annualmente stabilito, motivate preferenze o manifestazioni di disponibilità. Esse costituiscono elementi conoscitivi e collaborativi, non vincolanti per l'Amministrazione, e sono valutate esclusivamente se compatibili con le esigenze didattiche, inclusive e organizzative dell'Istituto. La continuità è valutata d'ufficio e non è subordinata alla presentazione di una domanda da parte del docente.</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10. Docenti di nuova assegnazione e personale a tempo determinato</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I docenti trasferiti, assegnati o immessi in ruolo nell'Istituto e il personale a tempo determinato sono assegnati alle classi e alle attività sulla base dei medesimi criteri generali, in relazione alle esigenze ancora da soddisfare e tenuto conto dei tempi di completamento delle operazioni di nomina. Non opera un diritto di priorità generalizzato del personale già in servizio nell'Istituto rispetto ai docenti di nuova assegnazione.</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11. Anzianità di servizio e graduatoria interna</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L'anzianità di servizio desunta dalla graduatoria interna d'Istituto non costituisce criterio generale di precedenza nell'assegnazione alle classi. Essa può essere utilizzata soltanto in via residuale, quale elemento di comparazione tra situazioni ritenute sostanzialmente equivalenti sotto il profilo didattico, inclusivo e organizzativo.</w:t>
      </w:r>
    </w:p>
    <w:p w:rsidR="00C33A1B" w:rsidRPr="00C21500" w:rsidRDefault="00000000">
      <w:pPr>
        <w:keepNext/>
        <w:spacing w:before="140" w:after="50"/>
        <w:rPr>
          <w:rFonts w:asciiTheme="minorHAnsi" w:hAnsiTheme="minorHAnsi" w:cstheme="minorHAnsi"/>
          <w:color w:val="000000" w:themeColor="text1"/>
          <w:sz w:val="20"/>
          <w:szCs w:val="20"/>
        </w:rPr>
      </w:pPr>
      <w:r w:rsidRPr="00C21500">
        <w:rPr>
          <w:rFonts w:asciiTheme="minorHAnsi" w:hAnsiTheme="minorHAnsi" w:cstheme="minorHAnsi"/>
          <w:b/>
          <w:color w:val="000000" w:themeColor="text1"/>
          <w:sz w:val="20"/>
          <w:szCs w:val="20"/>
        </w:rPr>
        <w:t>12. Formalizzazione e successive variazioni</w:t>
      </w:r>
    </w:p>
    <w:p w:rsidR="00C33A1B" w:rsidRPr="00C21500" w:rsidRDefault="00000000">
      <w:pPr>
        <w:ind w:firstLine="312"/>
        <w:rPr>
          <w:rFonts w:asciiTheme="minorHAnsi" w:hAnsiTheme="minorHAnsi" w:cstheme="minorHAnsi"/>
          <w:color w:val="000000" w:themeColor="text1"/>
          <w:sz w:val="20"/>
          <w:szCs w:val="20"/>
        </w:rPr>
      </w:pPr>
      <w:r w:rsidRPr="00C21500">
        <w:rPr>
          <w:rFonts w:asciiTheme="minorHAnsi" w:hAnsiTheme="minorHAnsi" w:cstheme="minorHAnsi"/>
          <w:color w:val="000000" w:themeColor="text1"/>
          <w:sz w:val="20"/>
          <w:szCs w:val="20"/>
        </w:rPr>
        <w:t>Le assegnazioni sono formalizzate con atto scritto della Dirigente scolastica. Qualora l'organico non sia ancora completo, possono essere disposte assegnazioni provvisorie. Per sopravvenute e motivate esigenze didattiche, inclusive, organizzative o di servizio, la Dirigente scolastica può modificare le assegnazioni anche nel corso dell'anno scolastico, nel rispetto degli obblighi contrattuali individuali e dandone comunicazione agli interessati.</w:t>
      </w:r>
    </w:p>
    <w:sectPr w:rsidR="00C33A1B" w:rsidRPr="00C21500">
      <w:footerReference w:type="default" r:id="rId8"/>
      <w:pgSz w:w="11906" w:h="16838"/>
      <w:pgMar w:top="709" w:right="964" w:bottom="822" w:left="964" w:header="283"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4498" w:rsidRDefault="00694498">
      <w:pPr>
        <w:spacing w:after="0" w:line="240" w:lineRule="auto"/>
      </w:pPr>
      <w:r>
        <w:separator/>
      </w:r>
    </w:p>
  </w:endnote>
  <w:endnote w:type="continuationSeparator" w:id="0">
    <w:p w:rsidR="00694498" w:rsidRDefault="00694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3A1B" w:rsidRDefault="00000000">
    <w:pPr>
      <w:jc w:val="center"/>
    </w:pPr>
    <w:r>
      <w:rPr>
        <w:color w:val="5A5A5A"/>
        <w:sz w:val="17"/>
      </w:rPr>
      <w:t xml:space="preserve">Pagina </w:t>
    </w:r>
    <w:r>
      <w:rPr>
        <w:color w:val="5A5A5A"/>
        <w:sz w:val="17"/>
      </w:rPr>
      <w:fldChar w:fldCharType="begin"/>
    </w:r>
    <w:r>
      <w:rPr>
        <w:color w:val="5A5A5A"/>
        <w:sz w:val="17"/>
      </w:rPr>
      <w:instrText xml:space="preserve"> PAGE </w:instrText>
    </w:r>
    <w:r>
      <w:rPr>
        <w:color w:val="5A5A5A"/>
        <w:sz w:val="17"/>
      </w:rPr>
      <w:fldChar w:fldCharType="separate"/>
    </w:r>
    <w:r>
      <w:rPr>
        <w:color w:val="5A5A5A"/>
        <w:sz w:val="17"/>
      </w:rPr>
      <w:t>1</w:t>
    </w:r>
    <w:r>
      <w:rPr>
        <w:color w:val="5A5A5A"/>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4498" w:rsidRDefault="00694498">
      <w:pPr>
        <w:spacing w:after="0" w:line="240" w:lineRule="auto"/>
      </w:pPr>
      <w:r>
        <w:separator/>
      </w:r>
    </w:p>
  </w:footnote>
  <w:footnote w:type="continuationSeparator" w:id="0">
    <w:p w:rsidR="00694498" w:rsidRDefault="006944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2642"/>
    <w:multiLevelType w:val="hybridMultilevel"/>
    <w:tmpl w:val="B9ACA40A"/>
    <w:lvl w:ilvl="0" w:tplc="BEB813FA">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26AC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08B5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32D9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823F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34D6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6E75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9CCF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A060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B4D3BFB"/>
    <w:multiLevelType w:val="hybridMultilevel"/>
    <w:tmpl w:val="81400B5A"/>
    <w:lvl w:ilvl="0" w:tplc="B8680442">
      <w:start w:val="1"/>
      <w:numFmt w:val="lowerLetter"/>
      <w:lvlText w:val="%1."/>
      <w:lvlJc w:val="left"/>
      <w:pPr>
        <w:ind w:left="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3C92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CF5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CE67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68EA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7291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AEDE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3EA9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ECBC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6171A6F"/>
    <w:multiLevelType w:val="singleLevel"/>
    <w:tmpl w:val="7F880AA4"/>
    <w:lvl w:ilvl="0">
      <w:start w:val="1"/>
      <w:numFmt w:val="bullet"/>
      <w:lvlText w:val="•"/>
      <w:lvlJc w:val="left"/>
      <w:pPr>
        <w:tabs>
          <w:tab w:val="num" w:pos="540"/>
        </w:tabs>
        <w:ind w:left="540" w:hanging="270"/>
      </w:pPr>
      <w:rPr>
        <w:rFonts w:ascii="Symbol" w:hAnsi="Symbol"/>
      </w:rPr>
    </w:lvl>
  </w:abstractNum>
  <w:num w:numId="1" w16cid:durableId="927419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CFF"/>
    <w:rsid w:val="00281E49"/>
    <w:rsid w:val="00535F83"/>
    <w:rsid w:val="00633784"/>
    <w:rsid w:val="00694498"/>
    <w:rsid w:val="00921858"/>
    <w:rsid w:val="009C1CFF"/>
    <w:rsid w:val="00B35161"/>
    <w:rsid w:val="00C21500"/>
    <w:rsid w:val="00C33A1B"/>
    <w:rsid w:val="00F611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docId w15:val="{F0DD021D-1539-8947-91A1-C6E8ABD0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80" w:line="254" w:lineRule="auto"/>
      <w:ind w:left="9" w:hanging="9"/>
      <w:jc w:val="both"/>
    </w:pPr>
    <w:rPr>
      <w:rFonts w:ascii="Times New Roman" w:eastAsia="Times New Roman" w:hAnsi="Times New Roman" w:cs="Times New Roman"/>
      <w:color w:val="000000"/>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1195</Words>
  <Characters>6814</Characters>
  <Application>Microsoft Office Word</Application>
  <DocSecurity>0</DocSecurity>
  <Lines>56</Lines>
  <Paragraphs>15</Paragraphs>
  <ScaleCrop>false</ScaleCrop>
  <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 generali per l'assegnazione dei docenti alle classi e alle sezioni - a.s. 2026/2027</dc:title>
  <dc:subject>Criteri generali di assegnazione dei docenti</dc:subject>
  <dc:creator>Bianca Guzzetta</dc:creator>
  <cp:keywords>assegnazione docenti, classi, sezioni, criteri, 2026-2027</cp:keywords>
  <cp:lastModifiedBy>bianca guzzetta</cp:lastModifiedBy>
  <cp:revision>3</cp:revision>
  <cp:lastPrinted>2026-08-27T09:14:00Z</cp:lastPrinted>
  <dcterms:created xsi:type="dcterms:W3CDTF">2026-08-27T07:26:00Z</dcterms:created>
  <dcterms:modified xsi:type="dcterms:W3CDTF">2026-08-27T09:14:00Z</dcterms:modified>
</cp:coreProperties>
</file>