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4AD5" w:rsidRDefault="00000000">
      <w:pPr>
        <w:jc w:val="center"/>
      </w:pPr>
      <w:r>
        <w:rPr>
          <w:noProof/>
        </w:rPr>
        <w:drawing>
          <wp:inline distT="0" distB="0" distL="0" distR="0">
            <wp:extent cx="6120000" cy="22303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3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AD5" w:rsidRDefault="00000000">
      <w:pPr>
        <w:jc w:val="center"/>
      </w:pPr>
      <w:r>
        <w:rPr>
          <w:b/>
        </w:rPr>
        <w:t>VALIDITÀ DELL’ANNO SCOLASTICO E DEROGHE AL LIMITE DI ASSENZA</w:t>
      </w:r>
    </w:p>
    <w:p w:rsidR="00E94AD5" w:rsidRDefault="00000000">
      <w:pPr>
        <w:jc w:val="center"/>
      </w:pPr>
      <w:r>
        <w:rPr>
          <w:b/>
        </w:rPr>
        <w:t>Scuola secondaria di primo grado – Anno scolastico 2026/2027</w:t>
      </w:r>
    </w:p>
    <w:p w:rsidR="00E94AD5" w:rsidRDefault="00000000">
      <w:r>
        <w:t xml:space="preserve">Delibera del Collegio dei docenti </w:t>
      </w:r>
      <w:r w:rsidR="00C62E99">
        <w:t>del 10 Settembre 2026</w:t>
      </w:r>
    </w:p>
    <w:p w:rsidR="00E94AD5" w:rsidRDefault="00000000">
      <w:pPr>
        <w:jc w:val="center"/>
      </w:pPr>
      <w:r>
        <w:rPr>
          <w:b/>
        </w:rPr>
        <w:t>IL COLLEGIO DEI DOCENTI</w:t>
      </w:r>
    </w:p>
    <w:p w:rsidR="00E94AD5" w:rsidRDefault="00000000">
      <w:r>
        <w:t>VISTO il decreto legislativo 13 aprile 2017, n. 62, e successive modificazioni, in particolare l’art. 5, relativo alla validità dell’anno scolastico nella scuola secondaria di primo grado;</w:t>
      </w:r>
    </w:p>
    <w:p w:rsidR="00E94AD5" w:rsidRDefault="00000000">
      <w:r>
        <w:t>VISTO il decreto del Presidente della Repubblica 20 marzo 2009, n. 89, art. 5, relativo all’ordinamento e all’orario della scuola secondaria di primo grado;</w:t>
      </w:r>
    </w:p>
    <w:p w:rsidR="00E94AD5" w:rsidRDefault="00000000">
      <w:r>
        <w:t>VISTA la nota MIUR prot. n. 1865 del 10 ottobre 2017, nella parte relativa alla validità dell’anno scolastico nella scuola secondaria di primo grado;</w:t>
      </w:r>
    </w:p>
    <w:p w:rsidR="00E94AD5" w:rsidRDefault="00000000">
      <w:r>
        <w:t>RICHIAMATA la circolare MIUR n. 20 del 4 marzo 2011, prot. n. 1483, per le indicazioni sul computo delle frequenze e sulle tipologie di deroga, in quanto compatibili con l’art. 5 del D.Lgs. n. 62/2017;</w:t>
      </w:r>
    </w:p>
    <w:p w:rsidR="00E94AD5" w:rsidRDefault="00000000">
      <w:pPr>
        <w:jc w:val="center"/>
      </w:pPr>
      <w:r>
        <w:rPr>
          <w:b/>
        </w:rPr>
        <w:t>DELIBERA</w:t>
      </w:r>
    </w:p>
    <w:p w:rsidR="00E94AD5" w:rsidRDefault="00000000">
      <w:pPr>
        <w:pStyle w:val="Titolo11"/>
      </w:pPr>
      <w:r>
        <w:t>1. Ambito di applicazione e requisito di frequenza</w:t>
      </w:r>
    </w:p>
    <w:p w:rsidR="00E94AD5" w:rsidRDefault="00000000">
      <w:r>
        <w:t>Per la validità dell’anno scolastico nella scuola secondaria di primo grado è necessaria la frequenza di almeno il 75% del monte ore annuale personalizzato. Vi rientrano tutte le attività oggetto di valutazione periodica e finale da parte del Consiglio di classe. Il presente limite non si applica alla scuola primaria né alla scuola dell’infanzia.</w:t>
      </w:r>
    </w:p>
    <w:p w:rsidR="00E94AD5" w:rsidRDefault="00000000">
      <w:r>
        <w:t>Il monte ore e le soglie individuali sono comunicati alle famiglie all’inizio dell’anno scolastico. Si conteggiano le ore effettive di assenza, comprese quelle derivanti da ritardi e uscite anticipate; la semplice giustificazione non elimina l’assenza dal computo. Le attività didattiche organizzate dalla scuola fuori sede, se regolarmente frequentate, costituiscono presenza.</w:t>
      </w:r>
    </w:p>
    <w:tbl>
      <w:tblPr>
        <w:tblW w:w="964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00"/>
        <w:gridCol w:w="1700"/>
        <w:gridCol w:w="2670"/>
        <w:gridCol w:w="2670"/>
      </w:tblGrid>
      <w:tr w:rsidR="00E94AD5">
        <w:tc>
          <w:tcPr>
            <w:tcW w:w="2600" w:type="dxa"/>
            <w:shd w:val="clear" w:color="auto" w:fill="EAEAE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rPr>
                <w:b/>
              </w:rPr>
              <w:t>Orario settimanale</w:t>
            </w:r>
          </w:p>
        </w:tc>
        <w:tc>
          <w:tcPr>
            <w:tcW w:w="1700" w:type="dxa"/>
            <w:shd w:val="clear" w:color="auto" w:fill="EAEAE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rPr>
                <w:b/>
              </w:rPr>
              <w:t>Monte ore annuo</w:t>
            </w:r>
          </w:p>
        </w:tc>
        <w:tc>
          <w:tcPr>
            <w:tcW w:w="2670" w:type="dxa"/>
            <w:shd w:val="clear" w:color="auto" w:fill="EAEAE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rPr>
                <w:b/>
              </w:rPr>
              <w:t>Presenza minima (75%)</w:t>
            </w:r>
          </w:p>
        </w:tc>
        <w:tc>
          <w:tcPr>
            <w:tcW w:w="2670" w:type="dxa"/>
            <w:shd w:val="clear" w:color="auto" w:fill="EAEAE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rPr>
                <w:b/>
              </w:rPr>
              <w:t>Assenza massima (25%)</w:t>
            </w:r>
          </w:p>
        </w:tc>
      </w:tr>
      <w:tr w:rsidR="00E94AD5"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30 ore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990 ore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742 ore e 30 minuti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247 ore e 30 minuti</w:t>
            </w:r>
          </w:p>
        </w:tc>
      </w:tr>
      <w:tr w:rsidR="00E94AD5"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36 ore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1.188 ore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891 ore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AD5" w:rsidRDefault="00000000">
            <w:pPr>
              <w:spacing w:before="80" w:after="80"/>
            </w:pPr>
            <w:r>
              <w:t>297 ore</w:t>
            </w:r>
          </w:p>
        </w:tc>
      </w:tr>
    </w:tbl>
    <w:p w:rsidR="00E94AD5" w:rsidRDefault="00000000">
      <w:r>
        <w:t>La tabella si riferisce ai modelli orari indicati; eventuali diversi monte ore personalizzati richiedono un calcolo specifico. Per 990 ore, se il conteggio avviene esclusivamente per ore intere, occorrono almeno 743 ore di presenza e sono consentite al massimo 247 ore intere di assenza. Il limite non deve essere arrotondato a 248 ore. Non si utilizzano equivalenze approssimative in giorni.</w:t>
      </w:r>
    </w:p>
    <w:p w:rsidR="00E94AD5" w:rsidRDefault="00000000">
      <w:r>
        <w:br w:type="page"/>
      </w:r>
    </w:p>
    <w:p w:rsidR="00E94AD5" w:rsidRDefault="00000000">
      <w:pPr>
        <w:pStyle w:val="Titolo11"/>
      </w:pPr>
      <w:r>
        <w:lastRenderedPageBreak/>
        <w:t>2. Casi eccezionali che possono giustificare la deroga</w:t>
      </w:r>
    </w:p>
    <w:p w:rsidR="00E94AD5" w:rsidRDefault="00000000">
      <w:r>
        <w:t>Il Consiglio di classe può riconoscere la deroga, entro i criteri qui deliberati, per le seguenti situazioni eccezionali congruamente documentate:</w:t>
      </w:r>
    </w:p>
    <w:p w:rsidR="00E94AD5" w:rsidRDefault="00000000">
      <w:r w:rsidRPr="00C62E99">
        <w:rPr>
          <w:b/>
          <w:u w:val="single"/>
        </w:rPr>
        <w:t>Gravi motivi di salute</w:t>
      </w:r>
      <w:r>
        <w:rPr>
          <w:b/>
        </w:rPr>
        <w:t xml:space="preserve">: </w:t>
      </w:r>
      <w:r>
        <w:t>assenze per malattia, ricoveri, convalescenze, terapie e cure programmate, anche ricorrenti, comprovate da idonea documentazione sanitaria.</w:t>
      </w:r>
    </w:p>
    <w:p w:rsidR="00E94AD5" w:rsidRDefault="00000000">
      <w:r w:rsidRPr="00C62E99">
        <w:rPr>
          <w:b/>
          <w:u w:val="single"/>
        </w:rPr>
        <w:t>Gravi motivi familiari</w:t>
      </w:r>
      <w:r>
        <w:rPr>
          <w:b/>
        </w:rPr>
        <w:t xml:space="preserve">: </w:t>
      </w:r>
      <w:r>
        <w:t>lutti, gravi malattie di familiari, trasferimenti del nucleo familiare o separazioni, quando le circostanze documentate abbiano effettivamente impedito la regolare frequenza.</w:t>
      </w:r>
    </w:p>
    <w:p w:rsidR="00E94AD5" w:rsidRDefault="00000000">
      <w:r w:rsidRPr="00C62E99">
        <w:rPr>
          <w:b/>
          <w:u w:val="single"/>
        </w:rPr>
        <w:t>Attività sportive agonistiche</w:t>
      </w:r>
      <w:r>
        <w:rPr>
          <w:b/>
        </w:rPr>
        <w:t xml:space="preserve">: </w:t>
      </w:r>
      <w:r>
        <w:t>partecipazione ad attività organizzate da federazioni riconosciute dal CONI, documentata dall’organismo sportivo competente con indicazione del periodo e dell’impegno richiesto.</w:t>
      </w:r>
    </w:p>
    <w:p w:rsidR="00E94AD5" w:rsidRDefault="00000000">
      <w:r w:rsidRPr="00C62E99">
        <w:rPr>
          <w:b/>
          <w:u w:val="single"/>
        </w:rPr>
        <w:t>Ricongiungimento con un genitore privato della libertà personale</w:t>
      </w:r>
      <w:r>
        <w:rPr>
          <w:b/>
        </w:rPr>
        <w:t xml:space="preserve">: </w:t>
      </w:r>
      <w:r>
        <w:t>assenze strettamente necessarie al ricongiungimento temporaneo, adeguatamente documentate.</w:t>
      </w:r>
    </w:p>
    <w:p w:rsidR="00E94AD5" w:rsidRDefault="00000000">
      <w:r w:rsidRPr="00C62E99">
        <w:rPr>
          <w:b/>
          <w:u w:val="single"/>
        </w:rPr>
        <w:t>Soggiorni nel Paese d’origine</w:t>
      </w:r>
      <w:r>
        <w:rPr>
          <w:b/>
        </w:rPr>
        <w:t xml:space="preserve">: </w:t>
      </w:r>
      <w:r>
        <w:t>assenze per rientri o permanenze legati a comprovate esigenze familiari eccezionali. La cittadinanza straniera o il semplice viaggio non costituiscono, da soli, motivo di deroga; sono esclusi automatismi per vacanze o prolungamenti ordinari del soggiorno.</w:t>
      </w:r>
    </w:p>
    <w:p w:rsidR="00E94AD5" w:rsidRDefault="00000000">
      <w:r w:rsidRPr="00C62E99">
        <w:rPr>
          <w:b/>
          <w:u w:val="single"/>
        </w:rPr>
        <w:t>Inserimento da scuole estere in corso d’anno</w:t>
      </w:r>
      <w:r>
        <w:rPr>
          <w:b/>
        </w:rPr>
        <w:t xml:space="preserve">: </w:t>
      </w:r>
      <w:r>
        <w:t>situazioni connesse all’arrivo e all’inserimento scolastico, valutate individualmente sulla base della data di ingresso, della precedente scolarizzazione documentabile e del percorso effettivamente svolto. I periodi anteriori all’iscrizione non sono qualificati automaticamente come assenze ingiustificate.</w:t>
      </w:r>
    </w:p>
    <w:p w:rsidR="00E94AD5" w:rsidRDefault="00000000">
      <w:r w:rsidRPr="00C62E99">
        <w:rPr>
          <w:b/>
          <w:u w:val="single"/>
        </w:rPr>
        <w:t>Osservanza religiosa</w:t>
      </w:r>
      <w:r>
        <w:rPr>
          <w:b/>
        </w:rPr>
        <w:t xml:space="preserve">: </w:t>
      </w:r>
      <w:r>
        <w:t>assenze per giorni di riposo o festività tutelati da specifiche intese recepite nell’ordinamento italiano, nei limiti e secondo le modalità previste dalle relative disposizioni.</w:t>
      </w:r>
    </w:p>
    <w:p w:rsidR="00E94AD5" w:rsidRDefault="00000000">
      <w:r w:rsidRPr="00C62E99">
        <w:rPr>
          <w:b/>
          <w:u w:val="single"/>
        </w:rPr>
        <w:t>Interventi dei servizi sociali e situazioni di protezione</w:t>
      </w:r>
      <w:r>
        <w:rPr>
          <w:b/>
        </w:rPr>
        <w:t xml:space="preserve">: </w:t>
      </w:r>
      <w:r>
        <w:t>assenze dovute a interventi dei servizi competenti, collocamento in strutture protette o case rifugio e altre documentate situazioni di grave disagio che comportino l’allontanamento dalla residenza familiare o impediscano la frequenza.</w:t>
      </w:r>
    </w:p>
    <w:p w:rsidR="00E94AD5" w:rsidRDefault="00000000">
      <w:pPr>
        <w:pStyle w:val="Titolo11"/>
      </w:pPr>
      <w:r>
        <w:t>3. Documentazione e monitoraggio</w:t>
      </w:r>
    </w:p>
    <w:p w:rsidR="00E94AD5" w:rsidRDefault="00000000">
      <w:r>
        <w:t>I genitori o chi esercita la responsabilità genitoriale presentano tempestivamente la documentazione utile a comprovare motivi e periodi di assenza. Per i motivi sanitari occorre idonea documentazione medica; per le altre situazioni sono acquisite attestazioni degli enti competenti e/o dichiarazioni circostanziate della famiglia, nei casi consentiti, da valutare nell’istruttoria. La sola giustificazione generica non è sufficiente.</w:t>
      </w:r>
    </w:p>
    <w:p w:rsidR="00E94AD5" w:rsidRDefault="00000000">
      <w:r>
        <w:t>Il coordinatore monitora le assenze, informa periodicamente la famiglia e segnala tempestivamente il rischio di superamento della soglia. Il Consiglio di classe documenta il computo delle ore, le comunicazioni e le convocazioni dei genitori, gli interventi di supporto e, ove necessario, il coinvolgimento dell’operatore psicopedagogico e dei servizi competenti. La progressiva riduzione delle assenze è un elemento utile al monitoraggio, ma non costituisce condizione obbligatoria per la deroga.</w:t>
      </w:r>
    </w:p>
    <w:p w:rsidR="00E94AD5" w:rsidRDefault="00000000">
      <w:pPr>
        <w:pStyle w:val="Titolo11"/>
      </w:pPr>
      <w:r>
        <w:t>4. Decisione del Consiglio di classe</w:t>
      </w:r>
    </w:p>
    <w:p w:rsidR="00E94AD5" w:rsidRDefault="00000000">
      <w:r>
        <w:t>La deroga non è automatica: il Consiglio di classe verifica la riconducibilità delle assenze ai criteri deliberati, l’adeguatezza della documentazione e la disponibilità di sufficienti elementi per valutare l’alunna o l’alunno. La decisione e le relative motivazioni sono verbalizzate individualmente. Il riconoscimento della deroga consente la valutazione finale, ma non comporta automaticamente l’ammissione alla classe successiva o all’esame.</w:t>
      </w:r>
    </w:p>
    <w:p w:rsidR="00E94AD5" w:rsidRDefault="00000000">
      <w:r>
        <w:t>Se il limite è superato e non sussistono le condizioni per la deroga, oppure mancano sufficienti elementi per la valutazione, il Consiglio di classe accerta e verbalizza la non validità dell’anno scolastico e delibera la conseguente non ammissione alla classe successiva o all’esame conclusivo del primo ciclo, ai sensi dell’art. 5, comma 3, del D.Lgs. n. 62/2017.</w:t>
      </w:r>
    </w:p>
    <w:p w:rsidR="00E94AD5" w:rsidRDefault="00000000">
      <w:r>
        <w:t>I presenti criteri sono comunicati alle famiglie. Restano fermi gli adempimenti di vigilanza sull’assolvimento dell’obbligo di istruzione e di prevenzione della dispersione scolastica.</w:t>
      </w:r>
    </w:p>
    <w:sectPr w:rsidR="00E94AD5">
      <w:pgSz w:w="11906" w:h="16838"/>
      <w:pgMar w:top="737" w:right="1134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822E6"/>
    <w:multiLevelType w:val="hybridMultilevel"/>
    <w:tmpl w:val="078CCF9A"/>
    <w:lvl w:ilvl="0" w:tplc="D6A05D1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E6C19C">
      <w:start w:val="1"/>
      <w:numFmt w:val="bullet"/>
      <w:lvlText w:val="o"/>
      <w:lvlJc w:val="left"/>
      <w:pPr>
        <w:ind w:left="1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E6E9DC">
      <w:start w:val="1"/>
      <w:numFmt w:val="bullet"/>
      <w:lvlText w:val="▪"/>
      <w:lvlJc w:val="left"/>
      <w:pPr>
        <w:ind w:left="2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BE97B2">
      <w:start w:val="1"/>
      <w:numFmt w:val="bullet"/>
      <w:lvlText w:val="•"/>
      <w:lvlJc w:val="left"/>
      <w:pPr>
        <w:ind w:left="2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D0568A">
      <w:start w:val="1"/>
      <w:numFmt w:val="bullet"/>
      <w:lvlText w:val="o"/>
      <w:lvlJc w:val="left"/>
      <w:pPr>
        <w:ind w:left="3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462FEC">
      <w:start w:val="1"/>
      <w:numFmt w:val="bullet"/>
      <w:lvlText w:val="▪"/>
      <w:lvlJc w:val="left"/>
      <w:pPr>
        <w:ind w:left="4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9C62CA">
      <w:start w:val="1"/>
      <w:numFmt w:val="bullet"/>
      <w:lvlText w:val="•"/>
      <w:lvlJc w:val="left"/>
      <w:pPr>
        <w:ind w:left="50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8ABED0">
      <w:start w:val="1"/>
      <w:numFmt w:val="bullet"/>
      <w:lvlText w:val="o"/>
      <w:lvlJc w:val="left"/>
      <w:pPr>
        <w:ind w:left="5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5C1B9C">
      <w:start w:val="1"/>
      <w:numFmt w:val="bullet"/>
      <w:lvlText w:val="▪"/>
      <w:lvlJc w:val="left"/>
      <w:pPr>
        <w:ind w:left="64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128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72E"/>
    <w:rsid w:val="000E572E"/>
    <w:rsid w:val="001307FD"/>
    <w:rsid w:val="001450A2"/>
    <w:rsid w:val="00AB1B50"/>
    <w:rsid w:val="00C62E99"/>
    <w:rsid w:val="00C7686D"/>
    <w:rsid w:val="00E9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FF95B1"/>
  <w15:docId w15:val="{1986A3D7-F3FB-DF48-B942-D2EACBFC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0" w:line="252" w:lineRule="auto"/>
      <w:ind w:left="26" w:hanging="10"/>
      <w:jc w:val="both"/>
    </w:pPr>
    <w:rPr>
      <w:rFonts w:ascii="Calibri" w:eastAsia="Times New Roman" w:hAnsi="Calibri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pPr>
      <w:spacing w:before="160" w:after="80"/>
    </w:pPr>
    <w:rPr>
      <w:rFonts w:ascii="Calibri" w:hAnsi="Calibri"/>
      <w:b/>
      <w:color w:val="000000"/>
      <w:sz w:val="22"/>
    </w:rPr>
  </w:style>
  <w:style w:type="paragraph" w:customStyle="1" w:styleId="Titolo21">
    <w:name w:val="Titolo 21"/>
    <w:pPr>
      <w:spacing w:before="160" w:after="80"/>
    </w:pPr>
    <w:rPr>
      <w:rFonts w:ascii="Calibri" w:hAnsi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942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validita_ e deroghe anno scolastico.docx</dc:title>
  <dc:subject/>
  <dc:creator>Pietro Agliastro</dc:creator>
  <cp:keywords/>
  <cp:lastModifiedBy>bianca guzzetta</cp:lastModifiedBy>
  <cp:revision>2</cp:revision>
  <dcterms:created xsi:type="dcterms:W3CDTF">2026-09-06T14:55:00Z</dcterms:created>
  <dcterms:modified xsi:type="dcterms:W3CDTF">2026-09-06T14:55:00Z</dcterms:modified>
</cp:coreProperties>
</file>